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8369F">
      <w:pPr>
        <w:rPr>
          <w:rFonts w:ascii="Arial"/>
          <w:sz w:val="21"/>
        </w:rPr>
      </w:pPr>
    </w:p>
    <w:p w14:paraId="679F9794">
      <w:pPr>
        <w:jc w:val="center"/>
        <w:rPr>
          <w:rFonts w:hint="eastAsia"/>
          <w:sz w:val="32"/>
          <w:szCs w:val="40"/>
          <w:lang w:val="en-US" w:eastAsia="zh-CN"/>
        </w:rPr>
      </w:pPr>
    </w:p>
    <w:p w14:paraId="533ABB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楷体" w:hAnsi="华文楷体" w:eastAsia="华文楷体" w:cs="华文楷体"/>
          <w:sz w:val="32"/>
          <w:szCs w:val="40"/>
          <w:lang w:val="en-US" w:eastAsia="zh-CN"/>
        </w:rPr>
      </w:pPr>
    </w:p>
    <w:p w14:paraId="2593E7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楷体" w:hAnsi="华文楷体" w:eastAsia="华文楷体" w:cs="华文楷体"/>
          <w:sz w:val="32"/>
          <w:szCs w:val="40"/>
          <w:lang w:val="en-US" w:eastAsia="zh-CN"/>
        </w:rPr>
      </w:pPr>
    </w:p>
    <w:p w14:paraId="00965E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楷体" w:hAnsi="华文楷体" w:eastAsia="华文楷体" w:cs="华文楷体"/>
          <w:sz w:val="32"/>
          <w:szCs w:val="40"/>
          <w:lang w:val="en-US" w:eastAsia="zh-CN"/>
        </w:rPr>
      </w:pPr>
    </w:p>
    <w:p w14:paraId="6704E9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楷体" w:hAnsi="华文楷体" w:eastAsia="华文楷体" w:cs="华文楷体"/>
          <w:sz w:val="32"/>
          <w:szCs w:val="40"/>
          <w:lang w:val="en-US" w:eastAsia="zh-CN"/>
        </w:rPr>
      </w:pPr>
      <w:r>
        <w:rPr>
          <w:rFonts w:hint="eastAsia" w:eastAsia="宋体"/>
          <w:sz w:val="32"/>
          <w:szCs w:val="40"/>
          <w:lang w:eastAsia="zh-CN"/>
        </w:rPr>
        <w:drawing>
          <wp:anchor distT="0" distB="0" distL="114300" distR="114300" simplePos="0" relativeHeight="251680768" behindDoc="0" locked="0" layoutInCell="1" allowOverlap="1">
            <wp:simplePos x="0" y="0"/>
            <wp:positionH relativeFrom="column">
              <wp:posOffset>1078230</wp:posOffset>
            </wp:positionH>
            <wp:positionV relativeFrom="paragraph">
              <wp:posOffset>57150</wp:posOffset>
            </wp:positionV>
            <wp:extent cx="1305560" cy="1046480"/>
            <wp:effectExtent l="0" t="0" r="0" b="0"/>
            <wp:wrapNone/>
            <wp:docPr id="3" name="图片 1" descr="青海湖生态保护基金会logo(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青海湖生态保护基金会logo(1)(1)"/>
                    <pic:cNvPicPr>
                      <a:picLocks noChangeAspect="1"/>
                    </pic:cNvPicPr>
                  </pic:nvPicPr>
                  <pic:blipFill>
                    <a:blip r:embed="rId27"/>
                    <a:stretch>
                      <a:fillRect/>
                    </a:stretch>
                  </pic:blipFill>
                  <pic:spPr>
                    <a:xfrm>
                      <a:off x="0" y="0"/>
                      <a:ext cx="1305560" cy="1046480"/>
                    </a:xfrm>
                    <a:prstGeom prst="rect">
                      <a:avLst/>
                    </a:prstGeom>
                    <a:noFill/>
                    <a:ln>
                      <a:noFill/>
                    </a:ln>
                  </pic:spPr>
                </pic:pic>
              </a:graphicData>
            </a:graphic>
          </wp:anchor>
        </w:drawing>
      </w:r>
    </w:p>
    <w:p w14:paraId="70DFD7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楷体" w:hAnsi="华文楷体" w:eastAsia="华文楷体" w:cs="华文楷体"/>
          <w:sz w:val="32"/>
          <w:szCs w:val="40"/>
          <w:lang w:val="en-US" w:eastAsia="zh-CN"/>
        </w:rPr>
      </w:pPr>
      <w:r>
        <w:rPr>
          <w:rFonts w:hint="eastAsia" w:ascii="华文楷体" w:hAnsi="华文楷体" w:eastAsia="华文楷体" w:cs="华文楷体"/>
          <w:sz w:val="32"/>
          <w:szCs w:val="40"/>
          <w:lang w:val="en-US" w:eastAsia="zh-CN"/>
        </w:rPr>
        <w:t>青海省青海湖生态保护基金会</w:t>
      </w:r>
    </w:p>
    <w:p w14:paraId="5C5BD6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楷体" w:hAnsi="华文楷体" w:eastAsia="华文楷体" w:cs="华文楷体"/>
          <w:sz w:val="28"/>
          <w:szCs w:val="36"/>
          <w:lang w:val="en-US" w:eastAsia="zh-CN"/>
        </w:rPr>
      </w:pPr>
    </w:p>
    <w:p w14:paraId="3CDB85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华文楷体" w:hAnsi="华文楷体" w:eastAsia="华文楷体" w:cs="华文楷体"/>
          <w:sz w:val="28"/>
          <w:szCs w:val="36"/>
          <w:lang w:val="en-US" w:eastAsia="zh-CN"/>
        </w:rPr>
      </w:pPr>
      <w:r>
        <w:rPr>
          <w:rFonts w:hint="eastAsia" w:ascii="华文楷体" w:hAnsi="华文楷体" w:eastAsia="华文楷体" w:cs="华文楷体"/>
          <w:sz w:val="28"/>
          <w:szCs w:val="36"/>
          <w:lang w:val="en-US" w:eastAsia="zh-CN"/>
        </w:rPr>
        <w:t>Qinghai Lake Conservation Foundation</w:t>
      </w:r>
    </w:p>
    <w:p w14:paraId="0AB0D006">
      <w:pPr>
        <w:jc w:val="center"/>
        <w:rPr>
          <w:rFonts w:hint="eastAsia" w:ascii="方正小标宋简体" w:hAnsi="方正小标宋简体" w:eastAsia="方正小标宋简体" w:cs="方正小标宋简体"/>
          <w:sz w:val="40"/>
          <w:szCs w:val="48"/>
          <w:lang w:val="en-US" w:eastAsia="zh-CN"/>
        </w:rPr>
      </w:pPr>
    </w:p>
    <w:p w14:paraId="6A1E392D">
      <w:pPr>
        <w:jc w:val="center"/>
        <w:rPr>
          <w:rFonts w:hint="eastAsia" w:ascii="方正小标宋简体" w:hAnsi="方正小标宋简体" w:eastAsia="方正小标宋简体" w:cs="方正小标宋简体"/>
          <w:sz w:val="40"/>
          <w:szCs w:val="48"/>
          <w:lang w:val="en-US" w:eastAsia="zh-CN"/>
        </w:rPr>
      </w:pPr>
    </w:p>
    <w:p w14:paraId="66B50530">
      <w:pPr>
        <w:jc w:val="center"/>
        <w:rPr>
          <w:rFonts w:hint="eastAsia" w:ascii="方正小标宋简体" w:hAnsi="方正小标宋简体" w:eastAsia="方正小标宋简体" w:cs="方正小标宋简体"/>
          <w:sz w:val="40"/>
          <w:szCs w:val="48"/>
          <w:lang w:val="en-US" w:eastAsia="zh-CN"/>
        </w:rPr>
      </w:pPr>
    </w:p>
    <w:p w14:paraId="3B50895A">
      <w:pPr>
        <w:jc w:val="center"/>
        <w:rPr>
          <w:rFonts w:hint="eastAsia" w:ascii="方正小标宋简体" w:hAnsi="方正小标宋简体" w:eastAsia="方正小标宋简体" w:cs="方正小标宋简体"/>
          <w:sz w:val="40"/>
          <w:szCs w:val="48"/>
          <w:lang w:val="en-US" w:eastAsia="zh-CN"/>
        </w:rPr>
      </w:pPr>
    </w:p>
    <w:p w14:paraId="4ADFE17F">
      <w:pPr>
        <w:jc w:val="center"/>
        <w:rPr>
          <w:rFonts w:hint="eastAsia" w:ascii="方正小标宋简体" w:hAnsi="方正小标宋简体" w:eastAsia="方正小标宋简体" w:cs="方正小标宋简体"/>
          <w:sz w:val="40"/>
          <w:szCs w:val="48"/>
          <w:lang w:val="en-US" w:eastAsia="zh-CN"/>
        </w:rPr>
      </w:pPr>
    </w:p>
    <w:p w14:paraId="61DA4DA0">
      <w:pPr>
        <w:jc w:val="center"/>
        <w:rPr>
          <w:rFonts w:hint="eastAsia" w:ascii="方正小标宋简体" w:hAnsi="方正小标宋简体" w:eastAsia="方正小标宋简体" w:cs="方正小标宋简体"/>
          <w:sz w:val="40"/>
          <w:szCs w:val="48"/>
          <w:lang w:val="en-US" w:eastAsia="zh-CN"/>
        </w:rPr>
      </w:pPr>
    </w:p>
    <w:p w14:paraId="004D0BAB">
      <w:pPr>
        <w:jc w:val="center"/>
        <w:rPr>
          <w:rFonts w:hint="default"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青海省青海湖生态保护基金会制度手册</w:t>
      </w:r>
      <w:bookmarkStart w:id="24" w:name="_GoBack"/>
      <w:bookmarkEnd w:id="24"/>
    </w:p>
    <w:p w14:paraId="09313EAC">
      <w:pPr>
        <w:jc w:val="center"/>
        <w:rPr>
          <w:rFonts w:hint="eastAsia" w:ascii="方正小标宋简体" w:hAnsi="方正小标宋简体" w:eastAsia="方正小标宋简体" w:cs="方正小标宋简体"/>
          <w:sz w:val="40"/>
          <w:szCs w:val="48"/>
          <w:lang w:val="en-US" w:eastAsia="zh-CN"/>
        </w:rPr>
      </w:pPr>
    </w:p>
    <w:p w14:paraId="6A11A9A8">
      <w:pPr>
        <w:jc w:val="center"/>
        <w:rPr>
          <w:rFonts w:hint="eastAsia" w:ascii="方正小标宋简体" w:hAnsi="方正小标宋简体" w:eastAsia="方正小标宋简体" w:cs="方正小标宋简体"/>
          <w:sz w:val="40"/>
          <w:szCs w:val="48"/>
          <w:lang w:val="en-US" w:eastAsia="zh-CN"/>
        </w:rPr>
      </w:pPr>
    </w:p>
    <w:p w14:paraId="45B3A24D">
      <w:pPr>
        <w:jc w:val="center"/>
        <w:rPr>
          <w:rFonts w:hint="eastAsia" w:ascii="方正小标宋简体" w:hAnsi="方正小标宋简体" w:eastAsia="方正小标宋简体" w:cs="方正小标宋简体"/>
          <w:sz w:val="40"/>
          <w:szCs w:val="48"/>
          <w:lang w:val="en-US" w:eastAsia="zh-CN"/>
        </w:rPr>
      </w:pPr>
    </w:p>
    <w:p w14:paraId="16BC3EEB">
      <w:pPr>
        <w:jc w:val="center"/>
        <w:rPr>
          <w:rFonts w:hint="eastAsia" w:ascii="方正小标宋简体" w:hAnsi="方正小标宋简体" w:eastAsia="方正小标宋简体" w:cs="方正小标宋简体"/>
          <w:sz w:val="40"/>
          <w:szCs w:val="48"/>
          <w:lang w:val="en-US" w:eastAsia="zh-CN"/>
        </w:rPr>
      </w:pPr>
    </w:p>
    <w:p w14:paraId="31A586F0">
      <w:pPr>
        <w:jc w:val="center"/>
        <w:rPr>
          <w:rFonts w:hint="eastAsia" w:ascii="方正小标宋简体" w:hAnsi="方正小标宋简体" w:eastAsia="方正小标宋简体" w:cs="方正小标宋简体"/>
          <w:sz w:val="40"/>
          <w:szCs w:val="48"/>
          <w:lang w:val="en-US" w:eastAsia="zh-CN"/>
        </w:rPr>
      </w:pPr>
    </w:p>
    <w:p w14:paraId="39CD78AE">
      <w:pPr>
        <w:jc w:val="center"/>
        <w:rPr>
          <w:rFonts w:hint="eastAsia" w:ascii="方正小标宋简体" w:hAnsi="方正小标宋简体" w:eastAsia="方正小标宋简体" w:cs="方正小标宋简体"/>
          <w:sz w:val="40"/>
          <w:szCs w:val="48"/>
          <w:lang w:val="en-US" w:eastAsia="zh-CN"/>
        </w:rPr>
      </w:pPr>
    </w:p>
    <w:p w14:paraId="0FAC411E">
      <w:pPr>
        <w:jc w:val="center"/>
        <w:rPr>
          <w:rFonts w:hint="eastAsia" w:ascii="方正小标宋简体" w:hAnsi="方正小标宋简体" w:eastAsia="方正小标宋简体" w:cs="方正小标宋简体"/>
          <w:sz w:val="40"/>
          <w:szCs w:val="48"/>
          <w:lang w:val="en-US" w:eastAsia="zh-CN"/>
        </w:rPr>
      </w:pPr>
    </w:p>
    <w:p w14:paraId="15E87D3A">
      <w:pPr>
        <w:jc w:val="center"/>
        <w:rPr>
          <w:rFonts w:hint="eastAsia" w:ascii="方正小标宋简体" w:hAnsi="方正小标宋简体" w:eastAsia="方正小标宋简体" w:cs="方正小标宋简体"/>
          <w:sz w:val="40"/>
          <w:szCs w:val="48"/>
          <w:lang w:val="en-US" w:eastAsia="zh-CN"/>
        </w:rPr>
      </w:pPr>
    </w:p>
    <w:p w14:paraId="7752F1D5">
      <w:pPr>
        <w:jc w:val="center"/>
        <w:rPr>
          <w:rFonts w:hint="eastAsia" w:ascii="方正小标宋简体" w:hAnsi="方正小标宋简体" w:eastAsia="方正小标宋简体" w:cs="方正小标宋简体"/>
          <w:sz w:val="40"/>
          <w:szCs w:val="48"/>
          <w:lang w:val="en-US" w:eastAsia="zh-CN"/>
        </w:rPr>
      </w:pPr>
    </w:p>
    <w:p w14:paraId="54F274D0">
      <w:pPr>
        <w:jc w:val="center"/>
        <w:rPr>
          <w:rFonts w:hint="eastAsia" w:ascii="方正小标宋简体" w:hAnsi="方正小标宋简体" w:eastAsia="方正小标宋简体" w:cs="方正小标宋简体"/>
          <w:sz w:val="40"/>
          <w:szCs w:val="48"/>
          <w:lang w:val="en-US" w:eastAsia="zh-CN"/>
        </w:rPr>
      </w:pPr>
    </w:p>
    <w:p w14:paraId="4159DB02">
      <w:pPr>
        <w:jc w:val="center"/>
        <w:rPr>
          <w:rFonts w:hint="eastAsia" w:ascii="方正小标宋简体" w:hAnsi="方正小标宋简体" w:eastAsia="方正小标宋简体" w:cs="方正小标宋简体"/>
          <w:sz w:val="40"/>
          <w:szCs w:val="48"/>
          <w:lang w:val="en-US" w:eastAsia="zh-CN"/>
        </w:rPr>
      </w:pPr>
    </w:p>
    <w:p w14:paraId="66CBA288">
      <w:pPr>
        <w:jc w:val="center"/>
        <w:rPr>
          <w:rFonts w:hint="eastAsia"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青海省青海湖生态保护基金会</w:t>
      </w:r>
    </w:p>
    <w:p w14:paraId="5BC01693">
      <w:pPr>
        <w:jc w:val="center"/>
        <w:rPr>
          <w:rFonts w:hint="eastAsia" w:ascii="方正小标宋简体" w:hAnsi="方正小标宋简体" w:eastAsia="方正小标宋简体" w:cs="方正小标宋简体"/>
          <w:sz w:val="28"/>
          <w:szCs w:val="36"/>
          <w:lang w:val="en-US" w:eastAsia="zh-CN"/>
        </w:rPr>
      </w:pPr>
    </w:p>
    <w:p w14:paraId="06A3E107">
      <w:pPr>
        <w:jc w:val="center"/>
        <w:rPr>
          <w:rFonts w:hint="default"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2024年10月</w:t>
      </w:r>
    </w:p>
    <w:p w14:paraId="7466C64F">
      <w:pPr>
        <w:rPr>
          <w:rFonts w:ascii="Arial" w:hAnsi="Arial" w:eastAsia="Arial" w:cs="Arial"/>
          <w:sz w:val="21"/>
          <w:szCs w:val="21"/>
        </w:rPr>
        <w:sectPr>
          <w:headerReference r:id="rId5" w:type="default"/>
          <w:footerReference r:id="rId6" w:type="default"/>
          <w:pgSz w:w="11906" w:h="16839"/>
          <w:pgMar w:top="0" w:right="0" w:bottom="0" w:left="0" w:header="0" w:footer="0" w:gutter="0"/>
          <w:cols w:space="720" w:num="1"/>
        </w:sectPr>
      </w:pPr>
    </w:p>
    <w:p w14:paraId="4C934157">
      <w:pPr>
        <w:spacing w:line="255" w:lineRule="auto"/>
        <w:rPr>
          <w:rFonts w:ascii="Arial"/>
          <w:sz w:val="21"/>
        </w:rPr>
      </w:pPr>
    </w:p>
    <w:p w14:paraId="2FA9C17E">
      <w:pPr>
        <w:spacing w:line="256" w:lineRule="auto"/>
        <w:rPr>
          <w:rFonts w:ascii="Arial"/>
          <w:sz w:val="21"/>
        </w:rPr>
      </w:pPr>
    </w:p>
    <w:p w14:paraId="4E00CB81">
      <w:pPr>
        <w:spacing w:line="256" w:lineRule="auto"/>
        <w:rPr>
          <w:rFonts w:ascii="Arial"/>
          <w:sz w:val="21"/>
        </w:rPr>
      </w:pPr>
    </w:p>
    <w:p w14:paraId="74CBD182">
      <w:pPr>
        <w:pStyle w:val="2"/>
        <w:spacing w:before="169" w:line="320" w:lineRule="auto"/>
        <w:ind w:left="4414" w:right="506" w:hanging="4016"/>
        <w:rPr>
          <w:b/>
          <w:bCs/>
          <w:spacing w:val="-5"/>
          <w:sz w:val="52"/>
          <w:szCs w:val="52"/>
        </w:rPr>
      </w:pPr>
    </w:p>
    <w:p w14:paraId="0EF7135E">
      <w:pPr>
        <w:pStyle w:val="2"/>
        <w:spacing w:before="169" w:line="320" w:lineRule="auto"/>
        <w:ind w:right="506"/>
        <w:jc w:val="center"/>
        <w:rPr>
          <w:sz w:val="52"/>
          <w:szCs w:val="52"/>
        </w:rPr>
      </w:pPr>
      <w:r>
        <w:rPr>
          <w:b/>
          <w:bCs/>
          <w:spacing w:val="-5"/>
          <w:sz w:val="52"/>
          <w:szCs w:val="52"/>
        </w:rPr>
        <w:t>青海湖生态保护基金会规章制度及职责</w:t>
      </w:r>
      <w:r>
        <w:rPr>
          <w:spacing w:val="3"/>
          <w:sz w:val="52"/>
          <w:szCs w:val="52"/>
        </w:rPr>
        <w:t xml:space="preserve"> </w:t>
      </w:r>
      <w:r>
        <w:rPr>
          <w:b/>
          <w:bCs/>
          <w:spacing w:val="-64"/>
          <w:sz w:val="52"/>
          <w:szCs w:val="52"/>
        </w:rPr>
        <w:t>目录</w:t>
      </w:r>
    </w:p>
    <w:p w14:paraId="7FA6D9C0">
      <w:pPr>
        <w:spacing w:line="295" w:lineRule="auto"/>
        <w:rPr>
          <w:rFonts w:ascii="Arial"/>
          <w:sz w:val="21"/>
        </w:rPr>
      </w:pPr>
    </w:p>
    <w:p w14:paraId="1256C5DE">
      <w:pPr>
        <w:spacing w:line="295" w:lineRule="auto"/>
        <w:rPr>
          <w:rFonts w:ascii="Arial"/>
          <w:sz w:val="21"/>
        </w:rPr>
      </w:pPr>
    </w:p>
    <w:p w14:paraId="1EF37380">
      <w:pPr>
        <w:spacing w:line="295" w:lineRule="auto"/>
        <w:rPr>
          <w:rFonts w:ascii="Arial"/>
          <w:sz w:val="21"/>
        </w:rPr>
      </w:pPr>
    </w:p>
    <w:p w14:paraId="48CE371F">
      <w:pPr>
        <w:spacing w:line="295" w:lineRule="auto"/>
        <w:rPr>
          <w:rFonts w:ascii="Arial"/>
          <w:sz w:val="21"/>
        </w:rPr>
      </w:pPr>
    </w:p>
    <w:p w14:paraId="21401A4A">
      <w:pPr>
        <w:spacing w:line="295" w:lineRule="auto"/>
        <w:rPr>
          <w:rFonts w:ascii="Arial"/>
          <w:sz w:val="21"/>
        </w:rPr>
      </w:pPr>
    </w:p>
    <w:p w14:paraId="243B307B">
      <w:pPr>
        <w:spacing w:line="295" w:lineRule="auto"/>
        <w:rPr>
          <w:rFonts w:ascii="Arial"/>
          <w:sz w:val="21"/>
        </w:rPr>
      </w:pPr>
    </w:p>
    <w:p w14:paraId="10E2CBCC">
      <w:pPr>
        <w:spacing w:line="296" w:lineRule="auto"/>
        <w:rPr>
          <w:rFonts w:ascii="Arial"/>
          <w:sz w:val="21"/>
        </w:rPr>
      </w:pPr>
    </w:p>
    <w:p w14:paraId="3A83B101">
      <w:pPr>
        <w:spacing w:line="296" w:lineRule="auto"/>
        <w:rPr>
          <w:rFonts w:ascii="Arial"/>
          <w:sz w:val="21"/>
        </w:rPr>
      </w:pPr>
    </w:p>
    <w:sdt>
      <w:sdtPr>
        <w:rPr>
          <w:rFonts w:ascii="宋体" w:hAnsi="宋体" w:eastAsia="宋体" w:cs="宋体"/>
          <w:sz w:val="28"/>
          <w:szCs w:val="28"/>
        </w:rPr>
        <w:id w:val="147457283"/>
        <w:docPartObj>
          <w:docPartGallery w:val="Table of Contents"/>
          <w:docPartUnique/>
        </w:docPartObj>
      </w:sdtPr>
      <w:sdtEndPr>
        <w:rPr>
          <w:rFonts w:ascii="宋体" w:hAnsi="宋体" w:eastAsia="宋体" w:cs="宋体"/>
          <w:sz w:val="28"/>
          <w:szCs w:val="28"/>
        </w:rPr>
      </w:sdtEndPr>
      <w:sdtContent>
        <w:p w14:paraId="37154E7E">
          <w:pPr>
            <w:pStyle w:val="2"/>
            <w:tabs>
              <w:tab w:val="right" w:leader="dot" w:pos="9499"/>
            </w:tabs>
            <w:spacing w:before="91" w:line="219" w:lineRule="auto"/>
            <w:ind w:left="11"/>
          </w:pPr>
          <w:bookmarkStart w:id="0" w:name="bookmark1"/>
          <w:bookmarkEnd w:id="0"/>
          <w:r>
            <w:fldChar w:fldCharType="begin"/>
          </w:r>
          <w:r>
            <w:instrText xml:space="preserve"> HYPERLINK \l "bookmark1" </w:instrText>
          </w:r>
          <w:r>
            <w:fldChar w:fldCharType="separate"/>
          </w:r>
          <w:r>
            <w:rPr>
              <w:spacing w:val="-4"/>
            </w:rPr>
            <w:t>一、章程</w:t>
          </w:r>
          <w:r>
            <w:tab/>
          </w:r>
          <w:r>
            <w:rPr>
              <w:spacing w:val="-24"/>
            </w:rPr>
            <w:t>（</w:t>
          </w:r>
          <w:r>
            <w:rPr>
              <w:spacing w:val="-71"/>
            </w:rPr>
            <w:t xml:space="preserve"> </w:t>
          </w:r>
          <w:r>
            <w:rPr>
              <w:spacing w:val="-24"/>
            </w:rPr>
            <w:t>1）</w:t>
          </w:r>
          <w:r>
            <w:rPr>
              <w:spacing w:val="-24"/>
            </w:rPr>
            <w:fldChar w:fldCharType="end"/>
          </w:r>
        </w:p>
        <w:p w14:paraId="7688DA04">
          <w:pPr>
            <w:pStyle w:val="2"/>
            <w:tabs>
              <w:tab w:val="right" w:leader="dot" w:pos="9617"/>
            </w:tabs>
            <w:spacing w:before="291" w:line="220" w:lineRule="auto"/>
            <w:ind w:left="11"/>
          </w:pPr>
          <w:bookmarkStart w:id="1" w:name="bookmark2"/>
          <w:bookmarkEnd w:id="1"/>
          <w:r>
            <w:fldChar w:fldCharType="begin"/>
          </w:r>
          <w:r>
            <w:instrText xml:space="preserve"> HYPERLINK \l "bookmark2" </w:instrText>
          </w:r>
          <w:r>
            <w:fldChar w:fldCharType="separate"/>
          </w:r>
          <w:r>
            <w:rPr>
              <w:spacing w:val="-4"/>
            </w:rPr>
            <w:t>二、党建工作制度</w:t>
          </w:r>
          <w:r>
            <w:tab/>
          </w:r>
          <w:r>
            <w:rPr>
              <w:spacing w:val="-8"/>
            </w:rPr>
            <w:t>（1</w:t>
          </w:r>
          <w:r>
            <w:rPr>
              <w:rFonts w:hint="eastAsia"/>
              <w:spacing w:val="-8"/>
              <w:lang w:val="en-US" w:eastAsia="zh-CN"/>
            </w:rPr>
            <w:t>5</w:t>
          </w:r>
          <w:r>
            <w:rPr>
              <w:spacing w:val="-8"/>
            </w:rPr>
            <w:t>）</w:t>
          </w:r>
          <w:r>
            <w:rPr>
              <w:spacing w:val="-8"/>
            </w:rPr>
            <w:fldChar w:fldCharType="end"/>
          </w:r>
        </w:p>
        <w:p w14:paraId="6A7E2446">
          <w:pPr>
            <w:pStyle w:val="2"/>
            <w:tabs>
              <w:tab w:val="right" w:leader="dot" w:pos="9617"/>
            </w:tabs>
            <w:spacing w:before="290" w:line="220" w:lineRule="auto"/>
            <w:ind w:left="7"/>
          </w:pPr>
          <w:bookmarkStart w:id="2" w:name="bookmark3"/>
          <w:bookmarkEnd w:id="2"/>
          <w:r>
            <w:fldChar w:fldCharType="begin"/>
          </w:r>
          <w:r>
            <w:instrText xml:space="preserve"> HYPERLINK \l "bookmark3" </w:instrText>
          </w:r>
          <w:r>
            <w:fldChar w:fldCharType="separate"/>
          </w:r>
          <w:r>
            <w:rPr>
              <w:spacing w:val="-3"/>
            </w:rPr>
            <w:t>三、财务管理制度</w:t>
          </w:r>
          <w:r>
            <w:tab/>
          </w:r>
          <w:r>
            <w:rPr>
              <w:spacing w:val="-8"/>
            </w:rPr>
            <w:t>（</w:t>
          </w:r>
          <w:r>
            <w:rPr>
              <w:rFonts w:hint="eastAsia"/>
              <w:spacing w:val="-8"/>
              <w:lang w:val="en-US" w:eastAsia="zh-CN"/>
            </w:rPr>
            <w:t>19</w:t>
          </w:r>
          <w:r>
            <w:rPr>
              <w:spacing w:val="-8"/>
            </w:rPr>
            <w:t>）</w:t>
          </w:r>
          <w:r>
            <w:rPr>
              <w:spacing w:val="-8"/>
            </w:rPr>
            <w:fldChar w:fldCharType="end"/>
          </w:r>
        </w:p>
        <w:p w14:paraId="63DE16C5">
          <w:pPr>
            <w:pStyle w:val="2"/>
            <w:tabs>
              <w:tab w:val="right" w:leader="dot" w:pos="9617"/>
            </w:tabs>
            <w:spacing w:before="291" w:line="220" w:lineRule="auto"/>
            <w:ind w:left="33"/>
          </w:pPr>
          <w:bookmarkStart w:id="3" w:name="bookmark4"/>
          <w:bookmarkEnd w:id="3"/>
          <w:r>
            <w:fldChar w:fldCharType="begin"/>
          </w:r>
          <w:r>
            <w:instrText xml:space="preserve"> HYPERLINK \l "bookmark4" </w:instrText>
          </w:r>
          <w:r>
            <w:fldChar w:fldCharType="separate"/>
          </w:r>
          <w:r>
            <w:rPr>
              <w:spacing w:val="-5"/>
            </w:rPr>
            <w:t>四、关联交易管理制度</w:t>
          </w:r>
          <w:r>
            <w:tab/>
          </w:r>
          <w:r>
            <w:rPr>
              <w:spacing w:val="-8"/>
            </w:rPr>
            <w:t>（2</w:t>
          </w:r>
          <w:r>
            <w:rPr>
              <w:rFonts w:hint="eastAsia"/>
              <w:spacing w:val="-8"/>
              <w:lang w:val="en-US" w:eastAsia="zh-CN"/>
            </w:rPr>
            <w:t>7</w:t>
          </w:r>
          <w:r>
            <w:rPr>
              <w:spacing w:val="-8"/>
            </w:rPr>
            <w:t>）</w:t>
          </w:r>
          <w:r>
            <w:rPr>
              <w:spacing w:val="-8"/>
            </w:rPr>
            <w:fldChar w:fldCharType="end"/>
          </w:r>
        </w:p>
        <w:p w14:paraId="1D5AE41D">
          <w:pPr>
            <w:pStyle w:val="2"/>
            <w:tabs>
              <w:tab w:val="right" w:leader="dot" w:pos="9617"/>
            </w:tabs>
            <w:spacing w:before="290" w:line="220" w:lineRule="auto"/>
            <w:ind w:left="11"/>
          </w:pPr>
          <w:bookmarkStart w:id="4" w:name="bookmark5"/>
          <w:bookmarkEnd w:id="4"/>
          <w:r>
            <w:fldChar w:fldCharType="begin"/>
          </w:r>
          <w:r>
            <w:instrText xml:space="preserve"> HYPERLINK \l "bookmark5" </w:instrText>
          </w:r>
          <w:r>
            <w:fldChar w:fldCharType="separate"/>
          </w:r>
          <w:r>
            <w:rPr>
              <w:spacing w:val="-3"/>
            </w:rPr>
            <w:t>五、人力资源管理职责</w:t>
          </w:r>
          <w:r>
            <w:tab/>
          </w:r>
          <w:r>
            <w:rPr>
              <w:spacing w:val="-8"/>
            </w:rPr>
            <w:t>（3</w:t>
          </w:r>
          <w:r>
            <w:rPr>
              <w:rFonts w:hint="eastAsia"/>
              <w:spacing w:val="-8"/>
              <w:lang w:val="en-US" w:eastAsia="zh-CN"/>
            </w:rPr>
            <w:t>1</w:t>
          </w:r>
          <w:r>
            <w:rPr>
              <w:spacing w:val="-8"/>
            </w:rPr>
            <w:t>）</w:t>
          </w:r>
          <w:r>
            <w:rPr>
              <w:spacing w:val="-8"/>
            </w:rPr>
            <w:fldChar w:fldCharType="end"/>
          </w:r>
        </w:p>
        <w:p w14:paraId="6C7E8B17">
          <w:pPr>
            <w:pStyle w:val="2"/>
            <w:tabs>
              <w:tab w:val="right" w:leader="dot" w:pos="9617"/>
            </w:tabs>
            <w:spacing w:before="290" w:line="220" w:lineRule="auto"/>
            <w:ind w:left="9"/>
          </w:pPr>
          <w:bookmarkStart w:id="5" w:name="bookmark6"/>
          <w:bookmarkEnd w:id="5"/>
          <w:r>
            <w:fldChar w:fldCharType="begin"/>
          </w:r>
          <w:r>
            <w:instrText xml:space="preserve"> HYPERLINK \l "bookmark6" </w:instrText>
          </w:r>
          <w:r>
            <w:fldChar w:fldCharType="separate"/>
          </w:r>
          <w:r>
            <w:rPr>
              <w:spacing w:val="-3"/>
            </w:rPr>
            <w:t>六、信息公开制度</w:t>
          </w:r>
          <w:r>
            <w:tab/>
          </w:r>
          <w:r>
            <w:rPr>
              <w:spacing w:val="-8"/>
            </w:rPr>
            <w:t>（</w:t>
          </w:r>
          <w:r>
            <w:rPr>
              <w:rFonts w:hint="eastAsia"/>
              <w:spacing w:val="-8"/>
              <w:lang w:val="en-US" w:eastAsia="zh-CN"/>
            </w:rPr>
            <w:t>39</w:t>
          </w:r>
          <w:r>
            <w:rPr>
              <w:spacing w:val="-8"/>
            </w:rPr>
            <w:t>）</w:t>
          </w:r>
          <w:r>
            <w:rPr>
              <w:spacing w:val="-8"/>
            </w:rPr>
            <w:fldChar w:fldCharType="end"/>
          </w:r>
        </w:p>
        <w:p w14:paraId="3FFB068D">
          <w:pPr>
            <w:pStyle w:val="2"/>
            <w:tabs>
              <w:tab w:val="right" w:leader="dot" w:pos="9617"/>
            </w:tabs>
            <w:spacing w:before="291" w:line="219" w:lineRule="auto"/>
            <w:ind w:left="6"/>
          </w:pPr>
          <w:bookmarkStart w:id="6" w:name="bookmark7"/>
          <w:bookmarkEnd w:id="6"/>
          <w:r>
            <w:fldChar w:fldCharType="begin"/>
          </w:r>
          <w:r>
            <w:instrText xml:space="preserve"> HYPERLINK \l "bookmark7" </w:instrText>
          </w:r>
          <w:r>
            <w:fldChar w:fldCharType="separate"/>
          </w:r>
          <w:r>
            <w:rPr>
              <w:spacing w:val="-9"/>
            </w:rPr>
            <w:t>七、印章使用管理制度</w:t>
          </w:r>
          <w:r>
            <w:tab/>
          </w:r>
          <w:r>
            <w:rPr>
              <w:spacing w:val="-80"/>
            </w:rPr>
            <w:t xml:space="preserve"> </w:t>
          </w:r>
          <w:r>
            <w:rPr>
              <w:spacing w:val="-5"/>
            </w:rPr>
            <w:t>（4</w:t>
          </w:r>
          <w:r>
            <w:rPr>
              <w:rFonts w:hint="eastAsia"/>
              <w:spacing w:val="-5"/>
              <w:lang w:val="en-US" w:eastAsia="zh-CN"/>
            </w:rPr>
            <w:t>3</w:t>
          </w:r>
          <w:r>
            <w:rPr>
              <w:spacing w:val="-5"/>
            </w:rPr>
            <w:t>）</w:t>
          </w:r>
          <w:r>
            <w:rPr>
              <w:spacing w:val="-5"/>
            </w:rPr>
            <w:fldChar w:fldCharType="end"/>
          </w:r>
        </w:p>
        <w:p w14:paraId="0C0451FA">
          <w:pPr>
            <w:pStyle w:val="2"/>
            <w:tabs>
              <w:tab w:val="right" w:leader="dot" w:pos="9617"/>
            </w:tabs>
            <w:spacing w:before="291" w:line="219" w:lineRule="auto"/>
            <w:ind w:left="11"/>
            <w:rPr>
              <w:spacing w:val="-8"/>
            </w:rPr>
          </w:pPr>
          <w:bookmarkStart w:id="7" w:name="bookmark8"/>
          <w:bookmarkEnd w:id="7"/>
          <w:r>
            <w:fldChar w:fldCharType="begin"/>
          </w:r>
          <w:r>
            <w:instrText xml:space="preserve"> HYPERLINK \l "bookmark8" </w:instrText>
          </w:r>
          <w:r>
            <w:fldChar w:fldCharType="separate"/>
          </w:r>
          <w:r>
            <w:rPr>
              <w:spacing w:val="-3"/>
            </w:rPr>
            <w:t>八、</w:t>
          </w:r>
          <w:r>
            <w:rPr>
              <w:rFonts w:hint="eastAsia"/>
              <w:spacing w:val="-3"/>
              <w:lang w:val="en-US" w:eastAsia="zh-CN"/>
            </w:rPr>
            <w:t>档案管理制度</w:t>
          </w:r>
          <w:r>
            <w:tab/>
          </w:r>
          <w:r>
            <w:rPr>
              <w:spacing w:val="-8"/>
            </w:rPr>
            <w:t>（4</w:t>
          </w:r>
          <w:r>
            <w:rPr>
              <w:rFonts w:hint="eastAsia"/>
              <w:spacing w:val="-8"/>
              <w:lang w:val="en-US" w:eastAsia="zh-CN"/>
            </w:rPr>
            <w:t>5</w:t>
          </w:r>
          <w:r>
            <w:rPr>
              <w:spacing w:val="-8"/>
            </w:rPr>
            <w:t>）</w:t>
          </w:r>
          <w:r>
            <w:rPr>
              <w:spacing w:val="-8"/>
            </w:rPr>
            <w:fldChar w:fldCharType="end"/>
          </w:r>
        </w:p>
        <w:p w14:paraId="393AE209">
          <w:pPr>
            <w:pStyle w:val="2"/>
            <w:tabs>
              <w:tab w:val="right" w:leader="dot" w:pos="9617"/>
            </w:tabs>
            <w:spacing w:before="291" w:line="219" w:lineRule="auto"/>
            <w:ind w:left="11"/>
            <w:rPr>
              <w:rFonts w:hint="eastAsia" w:eastAsia="宋体"/>
              <w:spacing w:val="-8"/>
              <w:lang w:val="en-US" w:eastAsia="zh-CN"/>
            </w:rPr>
          </w:pPr>
          <w:r>
            <w:rPr>
              <w:rFonts w:hint="eastAsia"/>
              <w:spacing w:val="-8"/>
              <w:lang w:val="en-US" w:eastAsia="zh-CN"/>
            </w:rPr>
            <w:t>九、</w:t>
          </w:r>
          <w:r>
            <w:rPr>
              <w:spacing w:val="-3"/>
            </w:rPr>
            <w:t>重大事项报告制度</w:t>
          </w:r>
          <w:r>
            <w:tab/>
          </w:r>
          <w:r>
            <w:rPr>
              <w:spacing w:val="-8"/>
            </w:rPr>
            <w:t>（</w:t>
          </w:r>
          <w:r>
            <w:rPr>
              <w:rFonts w:hint="eastAsia"/>
              <w:spacing w:val="-8"/>
              <w:lang w:val="en-US" w:eastAsia="zh-CN"/>
            </w:rPr>
            <w:t>51</w:t>
          </w:r>
          <w:r>
            <w:rPr>
              <w:spacing w:val="-8"/>
            </w:rPr>
            <w:t>）</w:t>
          </w:r>
        </w:p>
        <w:p w14:paraId="642CB387">
          <w:pPr>
            <w:pStyle w:val="2"/>
            <w:tabs>
              <w:tab w:val="right" w:leader="dot" w:pos="9617"/>
            </w:tabs>
            <w:spacing w:before="292" w:line="220" w:lineRule="auto"/>
            <w:ind w:left="14"/>
            <w:rPr>
              <w:spacing w:val="-8"/>
            </w:rPr>
          </w:pPr>
          <w:bookmarkStart w:id="8" w:name="bookmark9"/>
          <w:bookmarkEnd w:id="8"/>
          <w:r>
            <w:fldChar w:fldCharType="begin"/>
          </w:r>
          <w:r>
            <w:instrText xml:space="preserve"> HYPERLINK \l "bookmark9" </w:instrText>
          </w:r>
          <w:r>
            <w:fldChar w:fldCharType="separate"/>
          </w:r>
          <w:r>
            <w:rPr>
              <w:rFonts w:hint="eastAsia"/>
              <w:lang w:val="en-US" w:eastAsia="zh-CN"/>
            </w:rPr>
            <w:t>十</w:t>
          </w:r>
          <w:r>
            <w:rPr>
              <w:spacing w:val="-4"/>
            </w:rPr>
            <w:t>、差旅费管理办法</w:t>
          </w:r>
          <w:r>
            <w:tab/>
          </w:r>
          <w:r>
            <w:rPr>
              <w:spacing w:val="-8"/>
            </w:rPr>
            <w:t>（5</w:t>
          </w:r>
          <w:r>
            <w:rPr>
              <w:rFonts w:hint="eastAsia"/>
              <w:spacing w:val="-8"/>
              <w:lang w:val="en-US" w:eastAsia="zh-CN"/>
            </w:rPr>
            <w:t>6</w:t>
          </w:r>
          <w:r>
            <w:rPr>
              <w:spacing w:val="-8"/>
            </w:rPr>
            <w:t>）</w:t>
          </w:r>
          <w:r>
            <w:rPr>
              <w:spacing w:val="-8"/>
            </w:rPr>
            <w:fldChar w:fldCharType="end"/>
          </w:r>
        </w:p>
        <w:p w14:paraId="63AB1EEC">
          <w:pPr>
            <w:pStyle w:val="2"/>
            <w:tabs>
              <w:tab w:val="right" w:leader="dot" w:pos="9617"/>
            </w:tabs>
            <w:spacing w:before="292" w:line="220" w:lineRule="auto"/>
            <w:ind w:left="14"/>
            <w:rPr>
              <w:spacing w:val="-8"/>
            </w:rPr>
          </w:pPr>
          <w:r>
            <w:rPr>
              <w:rFonts w:hint="eastAsia"/>
              <w:spacing w:val="-4"/>
              <w:lang w:val="en-US" w:eastAsia="zh-CN"/>
            </w:rPr>
            <w:t>十一、实习生手册</w:t>
          </w:r>
          <w:r>
            <w:tab/>
          </w:r>
          <w:r>
            <w:rPr>
              <w:spacing w:val="-8"/>
            </w:rPr>
            <w:t>（</w:t>
          </w:r>
          <w:r>
            <w:rPr>
              <w:rFonts w:hint="eastAsia"/>
              <w:spacing w:val="-8"/>
              <w:lang w:val="en-US" w:eastAsia="zh-CN"/>
            </w:rPr>
            <w:t>65</w:t>
          </w:r>
          <w:r>
            <w:rPr>
              <w:spacing w:val="-8"/>
            </w:rPr>
            <w:t>）</w:t>
          </w:r>
        </w:p>
        <w:p w14:paraId="2BF3F163">
          <w:pPr>
            <w:pStyle w:val="2"/>
            <w:tabs>
              <w:tab w:val="right" w:leader="dot" w:pos="9617"/>
            </w:tabs>
            <w:spacing w:before="292" w:line="220" w:lineRule="auto"/>
            <w:ind w:left="14"/>
            <w:rPr>
              <w:spacing w:val="-8"/>
            </w:rPr>
          </w:pPr>
          <w:r>
            <w:rPr>
              <w:rFonts w:hint="eastAsia"/>
              <w:spacing w:val="-4"/>
              <w:lang w:val="en-US" w:eastAsia="zh-CN"/>
            </w:rPr>
            <w:t>十二、员工发展手册</w:t>
          </w:r>
          <w:r>
            <w:tab/>
          </w:r>
          <w:r>
            <w:rPr>
              <w:spacing w:val="-8"/>
            </w:rPr>
            <w:t>（</w:t>
          </w:r>
          <w:r>
            <w:rPr>
              <w:rFonts w:hint="eastAsia"/>
              <w:spacing w:val="-8"/>
              <w:lang w:val="en-US" w:eastAsia="zh-CN"/>
            </w:rPr>
            <w:t>82</w:t>
          </w:r>
          <w:r>
            <w:rPr>
              <w:spacing w:val="-8"/>
            </w:rPr>
            <w:t>）</w:t>
          </w:r>
        </w:p>
        <w:p w14:paraId="17594621">
          <w:pPr>
            <w:pStyle w:val="2"/>
            <w:tabs>
              <w:tab w:val="right" w:leader="dot" w:pos="9499"/>
            </w:tabs>
            <w:spacing w:before="291" w:line="220" w:lineRule="auto"/>
            <w:ind w:left="12"/>
          </w:pPr>
          <w:bookmarkStart w:id="9" w:name="bookmark10"/>
          <w:bookmarkEnd w:id="9"/>
          <w:r>
            <w:fldChar w:fldCharType="begin"/>
          </w:r>
          <w:r>
            <w:instrText xml:space="preserve"> HYPERLINK \l "bookmark10" </w:instrText>
          </w:r>
          <w:r>
            <w:fldChar w:fldCharType="separate"/>
          </w:r>
          <w:r>
            <w:rPr>
              <w:rFonts w:hint="eastAsia"/>
              <w:spacing w:val="-2"/>
              <w:lang w:val="en-US" w:eastAsia="zh-CN"/>
            </w:rPr>
            <w:t>十、附件</w:t>
          </w:r>
          <w:r>
            <w:tab/>
          </w:r>
          <w:r>
            <w:rPr>
              <w:spacing w:val="-1"/>
            </w:rPr>
            <w:t>（</w:t>
          </w:r>
          <w:r>
            <w:rPr>
              <w:rFonts w:hint="eastAsia"/>
              <w:spacing w:val="-1"/>
              <w:lang w:val="en-US" w:eastAsia="zh-CN"/>
            </w:rPr>
            <w:t>104</w:t>
          </w:r>
          <w:r>
            <w:rPr>
              <w:spacing w:val="-1"/>
            </w:rPr>
            <w:t>）</w:t>
          </w:r>
          <w:r>
            <w:rPr>
              <w:spacing w:val="-1"/>
            </w:rPr>
            <w:fldChar w:fldCharType="end"/>
          </w:r>
        </w:p>
        <w:p w14:paraId="26096D16">
          <w:pPr>
            <w:pStyle w:val="2"/>
            <w:tabs>
              <w:tab w:val="right" w:leader="dot" w:pos="9617"/>
            </w:tabs>
            <w:spacing w:before="292" w:line="219" w:lineRule="auto"/>
            <w:ind w:left="7"/>
            <w:rPr>
              <w:rFonts w:hint="eastAsia" w:eastAsia="宋体"/>
              <w:lang w:val="en-US" w:eastAsia="zh-CN"/>
            </w:rPr>
            <w:sectPr>
              <w:pgSz w:w="11906" w:h="16839"/>
              <w:pgMar w:top="400" w:right="1012" w:bottom="400" w:left="1136" w:header="0" w:footer="0" w:gutter="0"/>
              <w:cols w:space="720" w:num="1"/>
            </w:sectPr>
          </w:pPr>
          <w:bookmarkStart w:id="10" w:name="bookmark11"/>
          <w:bookmarkEnd w:id="10"/>
          <w:r>
            <w:rPr>
              <w:rFonts w:hint="eastAsia" w:cs="宋体"/>
              <w:sz w:val="28"/>
              <w:szCs w:val="28"/>
              <w:lang w:val="en-US" w:eastAsia="zh-CN"/>
            </w:rPr>
            <w:t xml:space="preserve">                                                                     </w:t>
          </w:r>
        </w:p>
      </w:sdtContent>
    </w:sdt>
    <w:p w14:paraId="53267AC6">
      <w:pPr>
        <w:spacing w:line="258" w:lineRule="auto"/>
        <w:rPr>
          <w:rFonts w:ascii="Arial"/>
          <w:sz w:val="21"/>
        </w:rPr>
      </w:pPr>
    </w:p>
    <w:p w14:paraId="374087B5">
      <w:pPr>
        <w:spacing w:line="258" w:lineRule="auto"/>
        <w:rPr>
          <w:rFonts w:ascii="Arial"/>
          <w:sz w:val="21"/>
        </w:rPr>
      </w:pPr>
    </w:p>
    <w:p w14:paraId="148B223F">
      <w:pPr>
        <w:spacing w:line="258" w:lineRule="auto"/>
        <w:rPr>
          <w:rFonts w:ascii="Arial"/>
          <w:sz w:val="21"/>
        </w:rPr>
      </w:pPr>
    </w:p>
    <w:p w14:paraId="1B65E117">
      <w:pPr>
        <w:spacing w:line="259" w:lineRule="auto"/>
        <w:rPr>
          <w:rFonts w:ascii="Arial"/>
          <w:sz w:val="21"/>
        </w:rPr>
      </w:pPr>
    </w:p>
    <w:p w14:paraId="28339333">
      <w:pPr>
        <w:spacing w:before="120" w:line="221" w:lineRule="auto"/>
        <w:ind w:left="1495"/>
        <w:rPr>
          <w:rFonts w:ascii="方正舒体" w:hAnsi="方正舒体" w:eastAsia="方正舒体" w:cs="方正舒体"/>
          <w:sz w:val="35"/>
          <w:szCs w:val="35"/>
        </w:rPr>
      </w:pPr>
      <w:r>
        <w:rPr>
          <w:rFonts w:ascii="方正舒体" w:hAnsi="方正舒体" w:eastAsia="方正舒体" w:cs="方正舒体"/>
          <w:spacing w:val="8"/>
          <w:sz w:val="35"/>
          <w:szCs w:val="35"/>
        </w:rPr>
        <w:t>青海省青海湖生态保护基金会章程</w:t>
      </w:r>
    </w:p>
    <w:p w14:paraId="03CBC7D8">
      <w:pPr>
        <w:spacing w:line="276" w:lineRule="auto"/>
        <w:rPr>
          <w:rFonts w:ascii="Arial"/>
          <w:sz w:val="21"/>
        </w:rPr>
      </w:pPr>
    </w:p>
    <w:p w14:paraId="4626E293">
      <w:pPr>
        <w:spacing w:before="91" w:line="222" w:lineRule="auto"/>
        <w:ind w:left="3356"/>
        <w:rPr>
          <w:rFonts w:ascii="黑体" w:hAnsi="黑体" w:eastAsia="黑体" w:cs="黑体"/>
          <w:sz w:val="28"/>
          <w:szCs w:val="28"/>
        </w:rPr>
      </w:pPr>
      <w:r>
        <w:rPr>
          <w:rFonts w:ascii="黑体" w:hAnsi="黑体" w:eastAsia="黑体" w:cs="黑体"/>
          <w:b/>
          <w:bCs/>
          <w:spacing w:val="-8"/>
          <w:sz w:val="28"/>
          <w:szCs w:val="28"/>
        </w:rPr>
        <w:t>第一章</w:t>
      </w:r>
      <w:r>
        <w:rPr>
          <w:rFonts w:ascii="黑体" w:hAnsi="黑体" w:eastAsia="黑体" w:cs="黑体"/>
          <w:spacing w:val="115"/>
          <w:sz w:val="28"/>
          <w:szCs w:val="28"/>
        </w:rPr>
        <w:t xml:space="preserve"> </w:t>
      </w:r>
      <w:r>
        <w:rPr>
          <w:rFonts w:ascii="黑体" w:hAnsi="黑体" w:eastAsia="黑体" w:cs="黑体"/>
          <w:b/>
          <w:bCs/>
          <w:spacing w:val="-8"/>
          <w:sz w:val="28"/>
          <w:szCs w:val="28"/>
        </w:rPr>
        <w:t>总则</w:t>
      </w:r>
    </w:p>
    <w:p w14:paraId="2B3CF13E">
      <w:pPr>
        <w:spacing w:before="221" w:line="460" w:lineRule="auto"/>
        <w:ind w:left="603" w:right="653"/>
        <w:rPr>
          <w:rFonts w:ascii="仿宋" w:hAnsi="仿宋" w:eastAsia="仿宋" w:cs="仿宋"/>
          <w:sz w:val="28"/>
          <w:szCs w:val="28"/>
        </w:rPr>
      </w:pPr>
      <w:r>
        <w:rPr>
          <w:rFonts w:ascii="仿宋" w:hAnsi="仿宋" w:eastAsia="仿宋" w:cs="仿宋"/>
          <w:b/>
          <w:bCs/>
          <w:spacing w:val="-3"/>
          <w:sz w:val="28"/>
          <w:szCs w:val="28"/>
        </w:rPr>
        <w:t>第一条</w:t>
      </w:r>
      <w:r>
        <w:rPr>
          <w:rFonts w:ascii="仿宋" w:hAnsi="仿宋" w:eastAsia="仿宋" w:cs="仿宋"/>
          <w:spacing w:val="-3"/>
          <w:sz w:val="28"/>
          <w:szCs w:val="28"/>
        </w:rPr>
        <w:t xml:space="preserve"> 本基金会的名称是</w:t>
      </w:r>
      <w:r>
        <w:rPr>
          <w:rFonts w:ascii="仿宋" w:hAnsi="仿宋" w:eastAsia="仿宋" w:cs="仿宋"/>
          <w:spacing w:val="-3"/>
          <w:sz w:val="28"/>
          <w:szCs w:val="28"/>
          <w:u w:val="single" w:color="auto"/>
        </w:rPr>
        <w:t>青海省青海湖生态保护基金会</w:t>
      </w:r>
      <w:r>
        <w:rPr>
          <w:rFonts w:ascii="仿宋" w:hAnsi="仿宋" w:eastAsia="仿宋" w:cs="仿宋"/>
          <w:spacing w:val="-3"/>
          <w:sz w:val="28"/>
          <w:szCs w:val="28"/>
        </w:rPr>
        <w:t>。</w:t>
      </w:r>
      <w:r>
        <w:rPr>
          <w:rFonts w:ascii="仿宋" w:hAnsi="仿宋" w:eastAsia="仿宋" w:cs="仿宋"/>
          <w:spacing w:val="4"/>
          <w:sz w:val="28"/>
          <w:szCs w:val="28"/>
        </w:rPr>
        <w:t xml:space="preserve"> </w:t>
      </w:r>
      <w:r>
        <w:rPr>
          <w:rFonts w:ascii="仿宋" w:hAnsi="仿宋" w:eastAsia="仿宋" w:cs="仿宋"/>
          <w:b/>
          <w:bCs/>
          <w:spacing w:val="-3"/>
          <w:sz w:val="28"/>
          <w:szCs w:val="28"/>
        </w:rPr>
        <w:t>第二条</w:t>
      </w:r>
      <w:r>
        <w:rPr>
          <w:rFonts w:ascii="仿宋" w:hAnsi="仿宋" w:eastAsia="仿宋" w:cs="仿宋"/>
          <w:spacing w:val="-3"/>
          <w:sz w:val="28"/>
          <w:szCs w:val="28"/>
        </w:rPr>
        <w:t xml:space="preserve"> 本基金会属于</w:t>
      </w:r>
      <w:r>
        <w:rPr>
          <w:rFonts w:ascii="仿宋" w:hAnsi="仿宋" w:eastAsia="仿宋" w:cs="仿宋"/>
          <w:spacing w:val="-3"/>
          <w:sz w:val="28"/>
          <w:szCs w:val="28"/>
          <w:u w:val="single" w:color="auto"/>
        </w:rPr>
        <w:t>非公募基金会</w:t>
      </w:r>
      <w:r>
        <w:rPr>
          <w:rFonts w:ascii="仿宋" w:hAnsi="仿宋" w:eastAsia="仿宋" w:cs="仿宋"/>
          <w:spacing w:val="-3"/>
          <w:sz w:val="28"/>
          <w:szCs w:val="28"/>
        </w:rPr>
        <w:t>。</w:t>
      </w:r>
    </w:p>
    <w:p w14:paraId="0352A29E">
      <w:pPr>
        <w:tabs>
          <w:tab w:val="left" w:pos="8277"/>
        </w:tabs>
        <w:spacing w:before="47" w:line="362" w:lineRule="auto"/>
        <w:ind w:left="31" w:right="13" w:firstLine="572"/>
        <w:jc w:val="both"/>
        <w:rPr>
          <w:rFonts w:ascii="仿宋" w:hAnsi="仿宋" w:eastAsia="仿宋" w:cs="仿宋"/>
          <w:sz w:val="28"/>
          <w:szCs w:val="28"/>
        </w:rPr>
      </w:pPr>
      <w:r>
        <w:rPr>
          <w:rFonts w:ascii="仿宋" w:hAnsi="仿宋" w:eastAsia="仿宋" w:cs="仿宋"/>
          <w:b/>
          <w:bCs/>
          <w:spacing w:val="-9"/>
          <w:sz w:val="28"/>
          <w:szCs w:val="28"/>
        </w:rPr>
        <w:t>第三条</w:t>
      </w:r>
      <w:r>
        <w:rPr>
          <w:rFonts w:ascii="仿宋" w:hAnsi="仿宋" w:eastAsia="仿宋" w:cs="仿宋"/>
          <w:spacing w:val="-9"/>
          <w:sz w:val="28"/>
          <w:szCs w:val="28"/>
        </w:rPr>
        <w:t xml:space="preserve"> 本基金会的宗旨：</w:t>
      </w:r>
      <w:r>
        <w:rPr>
          <w:rFonts w:ascii="仿宋" w:hAnsi="仿宋" w:eastAsia="仿宋" w:cs="仿宋"/>
          <w:spacing w:val="-9"/>
          <w:sz w:val="28"/>
          <w:szCs w:val="28"/>
          <w:u w:val="single" w:color="auto"/>
        </w:rPr>
        <w:t>遵守宪法、法律、法规和国家政策，</w:t>
      </w:r>
      <w:r>
        <w:rPr>
          <w:rFonts w:ascii="仿宋" w:hAnsi="仿宋" w:eastAsia="仿宋" w:cs="仿宋"/>
          <w:sz w:val="28"/>
          <w:szCs w:val="28"/>
          <w:u w:val="single" w:color="auto"/>
        </w:rPr>
        <w:tab/>
      </w:r>
      <w:r>
        <w:rPr>
          <w:rFonts w:ascii="仿宋" w:hAnsi="仿宋" w:eastAsia="仿宋" w:cs="仿宋"/>
          <w:sz w:val="28"/>
          <w:szCs w:val="28"/>
        </w:rPr>
        <w:t xml:space="preserve"> </w:t>
      </w:r>
      <w:r>
        <w:rPr>
          <w:rFonts w:ascii="仿宋" w:hAnsi="仿宋" w:eastAsia="仿宋" w:cs="仿宋"/>
          <w:spacing w:val="-4"/>
          <w:sz w:val="28"/>
          <w:szCs w:val="28"/>
          <w:u w:val="single" w:color="auto"/>
        </w:rPr>
        <w:t>践行社会主义核心价值观，广泛动员社会资源参与青海湖生态环境保</w:t>
      </w:r>
      <w:r>
        <w:rPr>
          <w:rFonts w:ascii="仿宋" w:hAnsi="仿宋" w:eastAsia="仿宋" w:cs="仿宋"/>
          <w:spacing w:val="7"/>
          <w:sz w:val="28"/>
          <w:szCs w:val="28"/>
        </w:rPr>
        <w:t xml:space="preserve"> </w:t>
      </w:r>
      <w:r>
        <w:rPr>
          <w:rFonts w:ascii="仿宋" w:hAnsi="仿宋" w:eastAsia="仿宋" w:cs="仿宋"/>
          <w:spacing w:val="-4"/>
          <w:sz w:val="28"/>
          <w:szCs w:val="28"/>
          <w:u w:val="single" w:color="auto"/>
        </w:rPr>
        <w:t>护，宣传推广青海湖文化，构建多元力量参与的青海湖保护体系，助</w:t>
      </w:r>
      <w:r>
        <w:rPr>
          <w:rFonts w:ascii="仿宋" w:hAnsi="仿宋" w:eastAsia="仿宋" w:cs="仿宋"/>
          <w:spacing w:val="7"/>
          <w:sz w:val="28"/>
          <w:szCs w:val="28"/>
        </w:rPr>
        <w:t xml:space="preserve"> </w:t>
      </w:r>
      <w:r>
        <w:rPr>
          <w:rFonts w:ascii="仿宋" w:hAnsi="仿宋" w:eastAsia="仿宋" w:cs="仿宋"/>
          <w:spacing w:val="2"/>
          <w:sz w:val="28"/>
          <w:szCs w:val="28"/>
          <w:u w:val="single" w:color="auto"/>
        </w:rPr>
        <w:t>力我省生态文明建设。</w:t>
      </w:r>
    </w:p>
    <w:p w14:paraId="2B58B4F2">
      <w:pPr>
        <w:spacing w:before="204" w:line="355" w:lineRule="auto"/>
        <w:ind w:left="41" w:right="13" w:firstLine="551"/>
        <w:rPr>
          <w:rFonts w:ascii="仿宋" w:hAnsi="仿宋" w:eastAsia="仿宋" w:cs="仿宋"/>
          <w:sz w:val="28"/>
          <w:szCs w:val="28"/>
        </w:rPr>
      </w:pPr>
      <w:r>
        <w:rPr>
          <w:rFonts w:ascii="仿宋" w:hAnsi="仿宋" w:eastAsia="仿宋" w:cs="仿宋"/>
          <w:spacing w:val="-4"/>
          <w:sz w:val="28"/>
          <w:szCs w:val="28"/>
        </w:rPr>
        <w:t>本基金会践行社会主义核心价值观，弘扬爱国主义精神，遵</w:t>
      </w:r>
      <w:r>
        <w:rPr>
          <w:rFonts w:ascii="仿宋" w:hAnsi="仿宋" w:eastAsia="仿宋" w:cs="仿宋"/>
          <w:spacing w:val="-5"/>
          <w:sz w:val="28"/>
          <w:szCs w:val="28"/>
        </w:rPr>
        <w:t>守社</w:t>
      </w:r>
      <w:r>
        <w:rPr>
          <w:rFonts w:ascii="仿宋" w:hAnsi="仿宋" w:eastAsia="仿宋" w:cs="仿宋"/>
          <w:sz w:val="28"/>
          <w:szCs w:val="28"/>
        </w:rPr>
        <w:t xml:space="preserve"> </w:t>
      </w:r>
      <w:r>
        <w:rPr>
          <w:rFonts w:ascii="仿宋" w:hAnsi="仿宋" w:eastAsia="仿宋" w:cs="仿宋"/>
          <w:spacing w:val="-6"/>
          <w:sz w:val="28"/>
          <w:szCs w:val="28"/>
        </w:rPr>
        <w:t>会道德风尚，</w:t>
      </w:r>
      <w:r>
        <w:rPr>
          <w:rFonts w:ascii="仿宋" w:hAnsi="仿宋" w:eastAsia="仿宋" w:cs="仿宋"/>
          <w:spacing w:val="-66"/>
          <w:sz w:val="28"/>
          <w:szCs w:val="28"/>
        </w:rPr>
        <w:t xml:space="preserve"> </w:t>
      </w:r>
      <w:r>
        <w:rPr>
          <w:rFonts w:ascii="仿宋" w:hAnsi="仿宋" w:eastAsia="仿宋" w:cs="仿宋"/>
          <w:spacing w:val="-6"/>
          <w:sz w:val="28"/>
          <w:szCs w:val="28"/>
        </w:rPr>
        <w:t>自觉加强诚信自律建设。</w:t>
      </w:r>
    </w:p>
    <w:p w14:paraId="5C9A5C7C">
      <w:pPr>
        <w:spacing w:before="202" w:line="360" w:lineRule="auto"/>
        <w:ind w:left="34" w:right="13" w:firstLine="569"/>
        <w:jc w:val="both"/>
        <w:rPr>
          <w:rFonts w:ascii="仿宋" w:hAnsi="仿宋" w:eastAsia="仿宋" w:cs="仿宋"/>
          <w:sz w:val="28"/>
          <w:szCs w:val="28"/>
        </w:rPr>
      </w:pPr>
      <w:r>
        <w:rPr>
          <w:rFonts w:ascii="仿宋" w:hAnsi="仿宋" w:eastAsia="仿宋" w:cs="仿宋"/>
          <w:b/>
          <w:bCs/>
          <w:spacing w:val="-1"/>
          <w:sz w:val="28"/>
          <w:szCs w:val="28"/>
        </w:rPr>
        <w:t>第四条</w:t>
      </w:r>
      <w:r>
        <w:rPr>
          <w:rFonts w:ascii="仿宋" w:hAnsi="仿宋" w:eastAsia="仿宋" w:cs="仿宋"/>
          <w:spacing w:val="-1"/>
          <w:sz w:val="28"/>
          <w:szCs w:val="28"/>
        </w:rPr>
        <w:t xml:space="preserve"> 本单位坚持中国共产党的全面领导</w:t>
      </w:r>
      <w:r>
        <w:rPr>
          <w:rFonts w:ascii="仿宋" w:hAnsi="仿宋" w:eastAsia="仿宋" w:cs="仿宋"/>
          <w:spacing w:val="-2"/>
          <w:sz w:val="28"/>
          <w:szCs w:val="28"/>
        </w:rPr>
        <w:t>，根据中国共产党章</w:t>
      </w:r>
      <w:r>
        <w:rPr>
          <w:rFonts w:ascii="仿宋" w:hAnsi="仿宋" w:eastAsia="仿宋" w:cs="仿宋"/>
          <w:sz w:val="28"/>
          <w:szCs w:val="28"/>
        </w:rPr>
        <w:t xml:space="preserve"> </w:t>
      </w:r>
      <w:r>
        <w:rPr>
          <w:rFonts w:ascii="仿宋" w:hAnsi="仿宋" w:eastAsia="仿宋" w:cs="仿宋"/>
          <w:spacing w:val="-4"/>
          <w:sz w:val="28"/>
          <w:szCs w:val="28"/>
        </w:rPr>
        <w:t>程的规定，设立中国共产党的组织，开展党的活动，为党组织的活动</w:t>
      </w:r>
      <w:r>
        <w:rPr>
          <w:rFonts w:ascii="仿宋" w:hAnsi="仿宋" w:eastAsia="仿宋" w:cs="仿宋"/>
          <w:spacing w:val="4"/>
          <w:sz w:val="28"/>
          <w:szCs w:val="28"/>
        </w:rPr>
        <w:t xml:space="preserve"> </w:t>
      </w:r>
      <w:r>
        <w:rPr>
          <w:rFonts w:ascii="仿宋" w:hAnsi="仿宋" w:eastAsia="仿宋" w:cs="仿宋"/>
          <w:spacing w:val="-3"/>
          <w:sz w:val="28"/>
          <w:szCs w:val="28"/>
        </w:rPr>
        <w:t>提供必要条件。</w:t>
      </w:r>
    </w:p>
    <w:p w14:paraId="2951EA80">
      <w:pPr>
        <w:spacing w:before="205" w:line="353" w:lineRule="auto"/>
        <w:ind w:left="64" w:right="56" w:firstLine="539"/>
        <w:rPr>
          <w:rFonts w:ascii="仿宋" w:hAnsi="仿宋" w:eastAsia="仿宋" w:cs="仿宋"/>
          <w:sz w:val="28"/>
          <w:szCs w:val="28"/>
        </w:rPr>
      </w:pPr>
      <w:r>
        <w:rPr>
          <w:rFonts w:ascii="仿宋" w:hAnsi="仿宋" w:eastAsia="仿宋" w:cs="仿宋"/>
          <w:b/>
          <w:bCs/>
          <w:spacing w:val="-2"/>
          <w:sz w:val="28"/>
          <w:szCs w:val="28"/>
        </w:rPr>
        <w:t>第五条</w:t>
      </w:r>
      <w:r>
        <w:rPr>
          <w:rFonts w:ascii="仿宋" w:hAnsi="仿宋" w:eastAsia="仿宋" w:cs="仿宋"/>
          <w:spacing w:val="-2"/>
          <w:sz w:val="28"/>
          <w:szCs w:val="28"/>
        </w:rPr>
        <w:t xml:space="preserve"> 本基金会的原始基金数额为</w:t>
      </w:r>
      <w:r>
        <w:rPr>
          <w:rFonts w:ascii="仿宋" w:hAnsi="仿宋" w:eastAsia="仿宋" w:cs="仿宋"/>
          <w:spacing w:val="-2"/>
          <w:sz w:val="28"/>
          <w:szCs w:val="28"/>
          <w:u w:val="single" w:color="auto"/>
        </w:rPr>
        <w:t>人民币</w:t>
      </w:r>
      <w:r>
        <w:rPr>
          <w:rFonts w:ascii="仿宋" w:hAnsi="仿宋" w:eastAsia="仿宋" w:cs="仿宋"/>
          <w:spacing w:val="-58"/>
          <w:sz w:val="28"/>
          <w:szCs w:val="28"/>
          <w:u w:val="single" w:color="auto"/>
        </w:rPr>
        <w:t xml:space="preserve"> </w:t>
      </w:r>
      <w:r>
        <w:rPr>
          <w:rFonts w:ascii="仿宋" w:hAnsi="仿宋" w:eastAsia="仿宋" w:cs="仿宋"/>
          <w:spacing w:val="-3"/>
          <w:sz w:val="28"/>
          <w:szCs w:val="28"/>
          <w:u w:val="single" w:color="auto"/>
        </w:rPr>
        <w:t>200</w:t>
      </w:r>
      <w:r>
        <w:rPr>
          <w:rFonts w:ascii="仿宋" w:hAnsi="仿宋" w:eastAsia="仿宋" w:cs="仿宋"/>
          <w:spacing w:val="-51"/>
          <w:sz w:val="28"/>
          <w:szCs w:val="28"/>
          <w:u w:val="single" w:color="auto"/>
        </w:rPr>
        <w:t xml:space="preserve"> </w:t>
      </w:r>
      <w:r>
        <w:rPr>
          <w:rFonts w:ascii="仿宋" w:hAnsi="仿宋" w:eastAsia="仿宋" w:cs="仿宋"/>
          <w:spacing w:val="-3"/>
          <w:sz w:val="28"/>
          <w:szCs w:val="28"/>
          <w:u w:val="single" w:color="auto"/>
        </w:rPr>
        <w:t>万元</w:t>
      </w:r>
      <w:r>
        <w:rPr>
          <w:rFonts w:ascii="仿宋" w:hAnsi="仿宋" w:eastAsia="仿宋" w:cs="仿宋"/>
          <w:spacing w:val="-3"/>
          <w:sz w:val="28"/>
          <w:szCs w:val="28"/>
        </w:rPr>
        <w:t>，来源于</w:t>
      </w:r>
      <w:r>
        <w:rPr>
          <w:rFonts w:ascii="仿宋" w:hAnsi="仿宋" w:eastAsia="仿宋" w:cs="仿宋"/>
          <w:spacing w:val="-3"/>
          <w:sz w:val="28"/>
          <w:szCs w:val="28"/>
          <w:u w:val="single" w:color="auto"/>
        </w:rPr>
        <w:t>中</w:t>
      </w:r>
      <w:r>
        <w:rPr>
          <w:rFonts w:ascii="仿宋" w:hAnsi="仿宋" w:eastAsia="仿宋" w:cs="仿宋"/>
          <w:sz w:val="28"/>
          <w:szCs w:val="28"/>
        </w:rPr>
        <w:t xml:space="preserve"> </w:t>
      </w:r>
      <w:r>
        <w:rPr>
          <w:rFonts w:ascii="仿宋" w:hAnsi="仿宋" w:eastAsia="仿宋" w:cs="仿宋"/>
          <w:spacing w:val="-5"/>
          <w:sz w:val="28"/>
          <w:szCs w:val="28"/>
          <w:u w:val="single" w:color="auto"/>
        </w:rPr>
        <w:t>国民生银行西宁分行捐赠</w:t>
      </w:r>
      <w:r>
        <w:rPr>
          <w:rFonts w:ascii="仿宋" w:hAnsi="仿宋" w:eastAsia="仿宋" w:cs="仿宋"/>
          <w:spacing w:val="-5"/>
          <w:sz w:val="28"/>
          <w:szCs w:val="28"/>
        </w:rPr>
        <w:t>。</w:t>
      </w:r>
    </w:p>
    <w:p w14:paraId="31E2BDCF">
      <w:pPr>
        <w:spacing w:before="211" w:line="353" w:lineRule="auto"/>
        <w:ind w:left="33" w:right="56" w:firstLine="570"/>
        <w:rPr>
          <w:rFonts w:ascii="仿宋" w:hAnsi="仿宋" w:eastAsia="仿宋" w:cs="仿宋"/>
          <w:sz w:val="28"/>
          <w:szCs w:val="28"/>
        </w:rPr>
      </w:pPr>
      <w:r>
        <w:rPr>
          <w:rFonts w:ascii="仿宋" w:hAnsi="仿宋" w:eastAsia="仿宋" w:cs="仿宋"/>
          <w:b/>
          <w:bCs/>
          <w:spacing w:val="-1"/>
          <w:sz w:val="28"/>
          <w:szCs w:val="28"/>
        </w:rPr>
        <w:t>第六条</w:t>
      </w:r>
      <w:r>
        <w:rPr>
          <w:rFonts w:ascii="仿宋" w:hAnsi="仿宋" w:eastAsia="仿宋" w:cs="仿宋"/>
          <w:spacing w:val="-1"/>
          <w:sz w:val="28"/>
          <w:szCs w:val="28"/>
        </w:rPr>
        <w:t xml:space="preserve"> 本基金会的登记管理机关是</w:t>
      </w:r>
      <w:r>
        <w:rPr>
          <w:rFonts w:ascii="仿宋" w:hAnsi="仿宋" w:eastAsia="仿宋" w:cs="仿宋"/>
          <w:spacing w:val="-1"/>
          <w:sz w:val="28"/>
          <w:szCs w:val="28"/>
          <w:u w:val="single" w:color="auto"/>
        </w:rPr>
        <w:t>青海省</w:t>
      </w:r>
      <w:r>
        <w:rPr>
          <w:rFonts w:ascii="仿宋" w:hAnsi="仿宋" w:eastAsia="仿宋" w:cs="仿宋"/>
          <w:spacing w:val="-2"/>
          <w:sz w:val="28"/>
          <w:szCs w:val="28"/>
          <w:u w:val="single" w:color="auto"/>
        </w:rPr>
        <w:t>民政厅</w:t>
      </w:r>
      <w:r>
        <w:rPr>
          <w:rFonts w:ascii="仿宋" w:hAnsi="仿宋" w:eastAsia="仿宋" w:cs="仿宋"/>
          <w:spacing w:val="-2"/>
          <w:sz w:val="28"/>
          <w:szCs w:val="28"/>
        </w:rPr>
        <w:t>，业务主管单</w:t>
      </w:r>
      <w:r>
        <w:rPr>
          <w:rFonts w:ascii="仿宋" w:hAnsi="仿宋" w:eastAsia="仿宋" w:cs="仿宋"/>
          <w:sz w:val="28"/>
          <w:szCs w:val="28"/>
        </w:rPr>
        <w:t xml:space="preserve"> </w:t>
      </w:r>
      <w:r>
        <w:rPr>
          <w:rFonts w:ascii="仿宋" w:hAnsi="仿宋" w:eastAsia="仿宋" w:cs="仿宋"/>
          <w:spacing w:val="-2"/>
          <w:sz w:val="28"/>
          <w:szCs w:val="28"/>
        </w:rPr>
        <w:t>位是</w:t>
      </w:r>
      <w:r>
        <w:rPr>
          <w:rFonts w:ascii="仿宋" w:hAnsi="仿宋" w:eastAsia="仿宋" w:cs="仿宋"/>
          <w:spacing w:val="-2"/>
          <w:sz w:val="28"/>
          <w:szCs w:val="28"/>
          <w:u w:val="single" w:color="auto"/>
        </w:rPr>
        <w:t>青海省青海湖景区保护利用管理局</w:t>
      </w:r>
      <w:r>
        <w:rPr>
          <w:rFonts w:ascii="仿宋" w:hAnsi="仿宋" w:eastAsia="仿宋" w:cs="仿宋"/>
          <w:spacing w:val="-2"/>
          <w:sz w:val="28"/>
          <w:szCs w:val="28"/>
        </w:rPr>
        <w:t>。</w:t>
      </w:r>
    </w:p>
    <w:p w14:paraId="5B7FE9B1">
      <w:pPr>
        <w:spacing w:before="211" w:line="222" w:lineRule="auto"/>
        <w:ind w:left="603"/>
        <w:rPr>
          <w:rFonts w:ascii="仿宋" w:hAnsi="仿宋" w:eastAsia="仿宋" w:cs="仿宋"/>
          <w:sz w:val="28"/>
          <w:szCs w:val="28"/>
        </w:rPr>
      </w:pPr>
      <w:r>
        <w:rPr>
          <w:rFonts w:ascii="仿宋" w:hAnsi="仿宋" w:eastAsia="仿宋" w:cs="仿宋"/>
          <w:b/>
          <w:bCs/>
          <w:spacing w:val="-3"/>
          <w:sz w:val="28"/>
          <w:szCs w:val="28"/>
        </w:rPr>
        <w:t>第七条</w:t>
      </w:r>
      <w:r>
        <w:rPr>
          <w:rFonts w:ascii="仿宋" w:hAnsi="仿宋" w:eastAsia="仿宋" w:cs="仿宋"/>
          <w:spacing w:val="-3"/>
          <w:sz w:val="28"/>
          <w:szCs w:val="28"/>
        </w:rPr>
        <w:t xml:space="preserve"> 本基金会的住所</w:t>
      </w:r>
      <w:r>
        <w:rPr>
          <w:rFonts w:ascii="仿宋" w:hAnsi="仿宋" w:eastAsia="仿宋" w:cs="仿宋"/>
          <w:spacing w:val="-3"/>
          <w:sz w:val="28"/>
          <w:szCs w:val="28"/>
          <w:u w:val="single" w:color="auto"/>
        </w:rPr>
        <w:t>青海省西宁市城中区昆仑中路</w:t>
      </w:r>
      <w:r>
        <w:rPr>
          <w:rFonts w:ascii="仿宋" w:hAnsi="仿宋" w:eastAsia="仿宋" w:cs="仿宋"/>
          <w:spacing w:val="-42"/>
          <w:sz w:val="28"/>
          <w:szCs w:val="28"/>
          <w:u w:val="single" w:color="auto"/>
        </w:rPr>
        <w:t xml:space="preserve"> </w:t>
      </w:r>
      <w:r>
        <w:rPr>
          <w:rFonts w:ascii="仿宋" w:hAnsi="仿宋" w:eastAsia="仿宋" w:cs="仿宋"/>
          <w:spacing w:val="-3"/>
          <w:sz w:val="28"/>
          <w:szCs w:val="28"/>
          <w:u w:val="single" w:color="auto"/>
        </w:rPr>
        <w:t>102</w:t>
      </w:r>
      <w:r>
        <w:rPr>
          <w:rFonts w:ascii="仿宋" w:hAnsi="仿宋" w:eastAsia="仿宋" w:cs="仿宋"/>
          <w:spacing w:val="-44"/>
          <w:sz w:val="28"/>
          <w:szCs w:val="28"/>
          <w:u w:val="single" w:color="auto"/>
        </w:rPr>
        <w:t xml:space="preserve"> </w:t>
      </w:r>
      <w:r>
        <w:rPr>
          <w:rFonts w:ascii="仿宋" w:hAnsi="仿宋" w:eastAsia="仿宋" w:cs="仿宋"/>
          <w:spacing w:val="-4"/>
          <w:sz w:val="28"/>
          <w:szCs w:val="28"/>
          <w:u w:val="single" w:color="auto"/>
        </w:rPr>
        <w:t>号</w:t>
      </w:r>
      <w:r>
        <w:rPr>
          <w:rFonts w:ascii="仿宋" w:hAnsi="仿宋" w:eastAsia="仿宋" w:cs="仿宋"/>
          <w:spacing w:val="-4"/>
          <w:sz w:val="28"/>
          <w:szCs w:val="28"/>
        </w:rPr>
        <w:t>。</w:t>
      </w:r>
    </w:p>
    <w:p w14:paraId="1721204C">
      <w:pPr>
        <w:spacing w:line="289" w:lineRule="auto"/>
        <w:rPr>
          <w:rFonts w:ascii="Arial"/>
          <w:sz w:val="21"/>
        </w:rPr>
      </w:pPr>
    </w:p>
    <w:p w14:paraId="64102295">
      <w:pPr>
        <w:spacing w:before="91" w:line="222" w:lineRule="auto"/>
        <w:ind w:left="3075"/>
        <w:rPr>
          <w:rFonts w:ascii="黑体" w:hAnsi="黑体" w:eastAsia="黑体" w:cs="黑体"/>
          <w:sz w:val="28"/>
          <w:szCs w:val="28"/>
        </w:rPr>
      </w:pPr>
      <w:r>
        <w:rPr>
          <w:rFonts w:ascii="黑体" w:hAnsi="黑体" w:eastAsia="黑体" w:cs="黑体"/>
          <w:b/>
          <w:bCs/>
          <w:spacing w:val="-6"/>
          <w:sz w:val="28"/>
          <w:szCs w:val="28"/>
        </w:rPr>
        <w:t>第二章</w:t>
      </w:r>
      <w:r>
        <w:rPr>
          <w:rFonts w:ascii="黑体" w:hAnsi="黑体" w:eastAsia="黑体" w:cs="黑体"/>
          <w:spacing w:val="112"/>
          <w:sz w:val="28"/>
          <w:szCs w:val="28"/>
        </w:rPr>
        <w:t xml:space="preserve"> </w:t>
      </w:r>
      <w:r>
        <w:rPr>
          <w:rFonts w:ascii="黑体" w:hAnsi="黑体" w:eastAsia="黑体" w:cs="黑体"/>
          <w:b/>
          <w:bCs/>
          <w:spacing w:val="-6"/>
          <w:sz w:val="28"/>
          <w:szCs w:val="28"/>
        </w:rPr>
        <w:t>业务范围</w:t>
      </w:r>
    </w:p>
    <w:p w14:paraId="2E714D38">
      <w:pPr>
        <w:spacing w:before="223" w:line="223" w:lineRule="auto"/>
        <w:ind w:left="603"/>
        <w:rPr>
          <w:rFonts w:ascii="仿宋" w:hAnsi="仿宋" w:eastAsia="仿宋" w:cs="仿宋"/>
          <w:sz w:val="28"/>
          <w:szCs w:val="28"/>
        </w:rPr>
      </w:pPr>
      <w:r>
        <w:rPr>
          <w:rFonts w:ascii="仿宋" w:hAnsi="仿宋" w:eastAsia="仿宋" w:cs="仿宋"/>
          <w:b/>
          <w:bCs/>
          <w:spacing w:val="-2"/>
          <w:sz w:val="28"/>
          <w:szCs w:val="28"/>
        </w:rPr>
        <w:t>第八条</w:t>
      </w:r>
      <w:r>
        <w:rPr>
          <w:rFonts w:ascii="仿宋" w:hAnsi="仿宋" w:eastAsia="仿宋" w:cs="仿宋"/>
          <w:spacing w:val="-2"/>
          <w:sz w:val="28"/>
          <w:szCs w:val="28"/>
        </w:rPr>
        <w:t xml:space="preserve"> 本基金会公益活动的业务范围是：</w:t>
      </w:r>
    </w:p>
    <w:p w14:paraId="7053A078">
      <w:pPr>
        <w:spacing w:line="266" w:lineRule="auto"/>
        <w:rPr>
          <w:rFonts w:ascii="Arial"/>
          <w:sz w:val="21"/>
        </w:rPr>
      </w:pPr>
    </w:p>
    <w:p w14:paraId="7A04C0EF">
      <w:pPr>
        <w:spacing w:before="98" w:line="221" w:lineRule="auto"/>
        <w:ind w:left="638"/>
        <w:rPr>
          <w:rFonts w:ascii="仿宋" w:hAnsi="仿宋" w:eastAsia="仿宋" w:cs="仿宋"/>
          <w:sz w:val="30"/>
          <w:szCs w:val="30"/>
        </w:rPr>
      </w:pPr>
      <w:r>
        <w:rPr>
          <w:rFonts w:ascii="仿宋" w:hAnsi="仿宋" w:eastAsia="仿宋" w:cs="仿宋"/>
          <w:spacing w:val="-1"/>
          <w:sz w:val="30"/>
          <w:szCs w:val="30"/>
        </w:rPr>
        <w:t>（一）开展青海湖生态保护相关的定向捐赠、项目资助；</w:t>
      </w:r>
    </w:p>
    <w:p w14:paraId="1EE59F87">
      <w:pPr>
        <w:spacing w:before="202" w:line="222" w:lineRule="auto"/>
        <w:ind w:left="698"/>
        <w:rPr>
          <w:rFonts w:ascii="仿宋" w:hAnsi="仿宋" w:eastAsia="仿宋" w:cs="仿宋"/>
          <w:sz w:val="30"/>
          <w:szCs w:val="30"/>
        </w:rPr>
      </w:pPr>
      <w:r>
        <w:pict>
          <v:shape id="_x0000_s1026" o:spid="_x0000_s1026" o:spt="202" type="#_x0000_t202" style="position:absolute;left:0pt;margin-left:29.95pt;margin-top:21.15pt;height:3.25pt;width:4.45pt;z-index:251659264;mso-width-relative:page;mso-height-relative:page;" filled="f" stroked="f" coordsize="21600,21600">
            <v:path/>
            <v:fill on="f" focussize="0,0"/>
            <v:stroke on="f"/>
            <v:imagedata o:title=""/>
            <o:lock v:ext="edit" aspectratio="f"/>
            <v:textbox inset="0mm,0mm,0mm,0mm">
              <w:txbxContent>
                <w:p w14:paraId="0993FE77">
                  <w:pPr>
                    <w:spacing w:before="19" w:line="227" w:lineRule="auto"/>
                    <w:ind w:left="20"/>
                    <w:rPr>
                      <w:rFonts w:ascii="仿宋" w:hAnsi="仿宋" w:eastAsia="仿宋" w:cs="仿宋"/>
                      <w:sz w:val="2"/>
                      <w:szCs w:val="2"/>
                    </w:rPr>
                  </w:pPr>
                  <w:r>
                    <w:rPr>
                      <w:rFonts w:ascii="仿宋" w:hAnsi="仿宋" w:eastAsia="仿宋" w:cs="仿宋"/>
                      <w:b/>
                      <w:bCs/>
                      <w:spacing w:val="-3"/>
                      <w:sz w:val="2"/>
                      <w:szCs w:val="2"/>
                    </w:rPr>
                    <w:t>（二）</w:t>
                  </w:r>
                </w:p>
              </w:txbxContent>
            </v:textbox>
          </v:shape>
        </w:pict>
      </w:r>
      <w:r>
        <w:rPr>
          <w:rFonts w:ascii="仿宋" w:hAnsi="仿宋" w:eastAsia="仿宋" w:cs="仿宋"/>
          <w:spacing w:val="-1"/>
          <w:sz w:val="30"/>
          <w:szCs w:val="30"/>
        </w:rPr>
        <w:t>（二）支持相关领域的宣传交流、调查研究等公益活动；</w:t>
      </w:r>
    </w:p>
    <w:p w14:paraId="364689A6">
      <w:pPr>
        <w:spacing w:line="222" w:lineRule="auto"/>
        <w:rPr>
          <w:rFonts w:ascii="仿宋" w:hAnsi="仿宋" w:eastAsia="仿宋" w:cs="仿宋"/>
          <w:sz w:val="30"/>
          <w:szCs w:val="30"/>
        </w:rPr>
        <w:sectPr>
          <w:footerReference r:id="rId7" w:type="default"/>
          <w:pgSz w:w="11906" w:h="16839"/>
          <w:pgMar w:top="400" w:right="1785" w:bottom="1151" w:left="1785" w:header="0" w:footer="989" w:gutter="0"/>
          <w:pgNumType w:fmt="decimal" w:start="1"/>
          <w:cols w:space="720" w:num="1"/>
        </w:sectPr>
      </w:pPr>
    </w:p>
    <w:p w14:paraId="76BBF3D7">
      <w:pPr>
        <w:spacing w:line="281" w:lineRule="auto"/>
        <w:rPr>
          <w:rFonts w:ascii="Arial"/>
          <w:sz w:val="21"/>
        </w:rPr>
      </w:pPr>
    </w:p>
    <w:p w14:paraId="018A59F5">
      <w:pPr>
        <w:spacing w:line="281" w:lineRule="auto"/>
        <w:rPr>
          <w:rFonts w:ascii="Arial"/>
          <w:sz w:val="21"/>
        </w:rPr>
      </w:pPr>
    </w:p>
    <w:p w14:paraId="0317A4A7">
      <w:pPr>
        <w:spacing w:line="281" w:lineRule="auto"/>
        <w:rPr>
          <w:rFonts w:ascii="Arial"/>
          <w:sz w:val="21"/>
        </w:rPr>
      </w:pPr>
    </w:p>
    <w:p w14:paraId="4125C193">
      <w:pPr>
        <w:spacing w:line="282" w:lineRule="auto"/>
        <w:rPr>
          <w:rFonts w:ascii="Arial"/>
          <w:sz w:val="21"/>
        </w:rPr>
      </w:pPr>
    </w:p>
    <w:p w14:paraId="3CA38544">
      <w:pPr>
        <w:spacing w:before="97" w:line="221" w:lineRule="auto"/>
        <w:ind w:left="698"/>
        <w:rPr>
          <w:rFonts w:ascii="仿宋" w:hAnsi="仿宋" w:eastAsia="仿宋" w:cs="仿宋"/>
          <w:sz w:val="30"/>
          <w:szCs w:val="30"/>
        </w:rPr>
      </w:pPr>
      <w:r>
        <w:pict>
          <v:shape id="_x0000_s1027" o:spid="_x0000_s1027" o:spt="202" type="#_x0000_t202" style="position:absolute;left:0pt;margin-left:29.95pt;margin-top:16.05pt;height:3.25pt;width:4.45pt;z-index:251660288;mso-width-relative:page;mso-height-relative:page;" filled="f" stroked="f" coordsize="21600,21600">
            <v:path/>
            <v:fill on="f" focussize="0,0"/>
            <v:stroke on="f"/>
            <v:imagedata o:title=""/>
            <o:lock v:ext="edit" aspectratio="f"/>
            <v:textbox inset="0mm,0mm,0mm,0mm">
              <w:txbxContent>
                <w:p w14:paraId="3D7206F6">
                  <w:pPr>
                    <w:spacing w:before="19" w:line="227" w:lineRule="auto"/>
                    <w:ind w:left="20"/>
                    <w:rPr>
                      <w:rFonts w:ascii="仿宋" w:hAnsi="仿宋" w:eastAsia="仿宋" w:cs="仿宋"/>
                      <w:sz w:val="2"/>
                      <w:szCs w:val="2"/>
                    </w:rPr>
                  </w:pPr>
                  <w:r>
                    <w:rPr>
                      <w:rFonts w:ascii="仿宋" w:hAnsi="仿宋" w:eastAsia="仿宋" w:cs="仿宋"/>
                      <w:b/>
                      <w:bCs/>
                      <w:spacing w:val="-3"/>
                      <w:sz w:val="2"/>
                      <w:szCs w:val="2"/>
                    </w:rPr>
                    <w:t>（三）</w:t>
                  </w:r>
                </w:p>
              </w:txbxContent>
            </v:textbox>
          </v:shape>
        </w:pict>
      </w:r>
      <w:r>
        <w:rPr>
          <w:rFonts w:ascii="仿宋" w:hAnsi="仿宋" w:eastAsia="仿宋" w:cs="仿宋"/>
          <w:spacing w:val="-2"/>
          <w:sz w:val="30"/>
          <w:szCs w:val="30"/>
        </w:rPr>
        <w:t>（三）符合慈善法规定的其他公益事项。</w:t>
      </w:r>
    </w:p>
    <w:p w14:paraId="5F5D5D7E">
      <w:pPr>
        <w:spacing w:before="219" w:line="355" w:lineRule="auto"/>
        <w:ind w:left="603" w:right="2502" w:firstLine="1909"/>
        <w:rPr>
          <w:rFonts w:ascii="仿宋" w:hAnsi="仿宋" w:eastAsia="仿宋" w:cs="仿宋"/>
          <w:sz w:val="28"/>
          <w:szCs w:val="28"/>
        </w:rPr>
      </w:pPr>
      <w:r>
        <w:rPr>
          <w:rFonts w:ascii="黑体" w:hAnsi="黑体" w:eastAsia="黑体" w:cs="黑体"/>
          <w:b/>
          <w:bCs/>
          <w:spacing w:val="-4"/>
          <w:sz w:val="28"/>
          <w:szCs w:val="28"/>
        </w:rPr>
        <w:t>第三章</w:t>
      </w:r>
      <w:r>
        <w:rPr>
          <w:rFonts w:ascii="黑体" w:hAnsi="黑体" w:eastAsia="黑体" w:cs="黑体"/>
          <w:spacing w:val="108"/>
          <w:sz w:val="28"/>
          <w:szCs w:val="28"/>
        </w:rPr>
        <w:t xml:space="preserve"> </w:t>
      </w:r>
      <w:r>
        <w:rPr>
          <w:rFonts w:ascii="黑体" w:hAnsi="黑体" w:eastAsia="黑体" w:cs="黑体"/>
          <w:b/>
          <w:bCs/>
          <w:spacing w:val="-4"/>
          <w:sz w:val="28"/>
          <w:szCs w:val="28"/>
        </w:rPr>
        <w:t>组织机构、负责人</w:t>
      </w:r>
      <w:r>
        <w:rPr>
          <w:rFonts w:ascii="黑体" w:hAnsi="黑体" w:eastAsia="黑体" w:cs="黑体"/>
          <w:sz w:val="28"/>
          <w:szCs w:val="28"/>
        </w:rPr>
        <w:t xml:space="preserve"> </w:t>
      </w:r>
      <w:r>
        <w:rPr>
          <w:rFonts w:ascii="仿宋" w:hAnsi="仿宋" w:eastAsia="仿宋" w:cs="仿宋"/>
          <w:b/>
          <w:bCs/>
          <w:spacing w:val="-4"/>
          <w:sz w:val="28"/>
          <w:szCs w:val="28"/>
        </w:rPr>
        <w:t>第九条</w:t>
      </w:r>
      <w:r>
        <w:rPr>
          <w:rFonts w:ascii="仿宋" w:hAnsi="仿宋" w:eastAsia="仿宋" w:cs="仿宋"/>
          <w:spacing w:val="-4"/>
          <w:sz w:val="28"/>
          <w:szCs w:val="28"/>
        </w:rPr>
        <w:t xml:space="preserve"> 本基金会由</w:t>
      </w:r>
      <w:r>
        <w:rPr>
          <w:rFonts w:ascii="仿宋" w:hAnsi="仿宋" w:eastAsia="仿宋" w:cs="仿宋"/>
          <w:spacing w:val="-50"/>
          <w:sz w:val="28"/>
          <w:szCs w:val="28"/>
        </w:rPr>
        <w:t xml:space="preserve"> </w:t>
      </w:r>
      <w:r>
        <w:rPr>
          <w:rFonts w:ascii="仿宋" w:hAnsi="仿宋" w:eastAsia="仿宋" w:cs="仿宋"/>
          <w:spacing w:val="-4"/>
          <w:sz w:val="28"/>
          <w:szCs w:val="28"/>
        </w:rPr>
        <w:t>5</w:t>
      </w:r>
      <w:r>
        <w:rPr>
          <w:rFonts w:ascii="仿宋" w:hAnsi="仿宋" w:eastAsia="仿宋" w:cs="仿宋"/>
          <w:spacing w:val="-49"/>
          <w:sz w:val="28"/>
          <w:szCs w:val="28"/>
        </w:rPr>
        <w:t xml:space="preserve"> </w:t>
      </w:r>
      <w:r>
        <w:rPr>
          <w:rFonts w:ascii="仿宋" w:hAnsi="仿宋" w:eastAsia="仿宋" w:cs="仿宋"/>
          <w:spacing w:val="-4"/>
          <w:sz w:val="28"/>
          <w:szCs w:val="28"/>
        </w:rPr>
        <w:t>名理事组成理事会。</w:t>
      </w:r>
    </w:p>
    <w:p w14:paraId="3F2C78F0">
      <w:pPr>
        <w:spacing w:before="203" w:line="461" w:lineRule="auto"/>
        <w:ind w:left="603" w:right="596" w:hanging="90"/>
        <w:rPr>
          <w:rFonts w:ascii="仿宋" w:hAnsi="仿宋" w:eastAsia="仿宋" w:cs="仿宋"/>
          <w:sz w:val="28"/>
          <w:szCs w:val="28"/>
        </w:rPr>
      </w:pPr>
      <w:r>
        <w:rPr>
          <w:rFonts w:ascii="仿宋" w:hAnsi="仿宋" w:eastAsia="仿宋" w:cs="仿宋"/>
          <w:spacing w:val="-4"/>
          <w:sz w:val="28"/>
          <w:szCs w:val="28"/>
        </w:rPr>
        <w:t>本基金会理事每届任期为</w:t>
      </w:r>
      <w:r>
        <w:rPr>
          <w:rFonts w:ascii="仿宋" w:hAnsi="仿宋" w:eastAsia="仿宋" w:cs="仿宋"/>
          <w:spacing w:val="-48"/>
          <w:sz w:val="28"/>
          <w:szCs w:val="28"/>
        </w:rPr>
        <w:t xml:space="preserve"> </w:t>
      </w:r>
      <w:r>
        <w:rPr>
          <w:rFonts w:ascii="仿宋" w:hAnsi="仿宋" w:eastAsia="仿宋" w:cs="仿宋"/>
          <w:spacing w:val="-4"/>
          <w:sz w:val="28"/>
          <w:szCs w:val="28"/>
        </w:rPr>
        <w:t>5</w:t>
      </w:r>
      <w:r>
        <w:rPr>
          <w:rFonts w:ascii="仿宋" w:hAnsi="仿宋" w:eastAsia="仿宋" w:cs="仿宋"/>
          <w:spacing w:val="-45"/>
          <w:sz w:val="28"/>
          <w:szCs w:val="28"/>
        </w:rPr>
        <w:t xml:space="preserve"> </w:t>
      </w:r>
      <w:r>
        <w:rPr>
          <w:rFonts w:ascii="仿宋" w:hAnsi="仿宋" w:eastAsia="仿宋" w:cs="仿宋"/>
          <w:spacing w:val="-4"/>
          <w:sz w:val="28"/>
          <w:szCs w:val="28"/>
        </w:rPr>
        <w:t>年，任期届满，连选可以连任。</w:t>
      </w:r>
      <w:r>
        <w:rPr>
          <w:rFonts w:ascii="仿宋" w:hAnsi="仿宋" w:eastAsia="仿宋" w:cs="仿宋"/>
          <w:sz w:val="28"/>
          <w:szCs w:val="28"/>
        </w:rPr>
        <w:t xml:space="preserve"> </w:t>
      </w:r>
      <w:r>
        <w:rPr>
          <w:rFonts w:ascii="仿宋" w:hAnsi="仿宋" w:eastAsia="仿宋" w:cs="仿宋"/>
          <w:b/>
          <w:bCs/>
          <w:spacing w:val="-3"/>
          <w:sz w:val="28"/>
          <w:szCs w:val="28"/>
        </w:rPr>
        <w:t>第十条</w:t>
      </w:r>
      <w:r>
        <w:rPr>
          <w:rFonts w:ascii="仿宋" w:hAnsi="仿宋" w:eastAsia="仿宋" w:cs="仿宋"/>
          <w:spacing w:val="-3"/>
          <w:sz w:val="28"/>
          <w:szCs w:val="28"/>
        </w:rPr>
        <w:t xml:space="preserve"> 理事的任职资格：</w:t>
      </w:r>
    </w:p>
    <w:p w14:paraId="26EE584B">
      <w:pPr>
        <w:spacing w:before="42" w:line="296" w:lineRule="auto"/>
        <w:ind w:left="39" w:right="13" w:firstLine="473"/>
        <w:rPr>
          <w:rFonts w:ascii="仿宋" w:hAnsi="仿宋" w:eastAsia="仿宋" w:cs="仿宋"/>
          <w:sz w:val="28"/>
          <w:szCs w:val="28"/>
        </w:rPr>
      </w:pPr>
      <w:r>
        <w:rPr>
          <w:rFonts w:ascii="仿宋" w:hAnsi="仿宋" w:eastAsia="仿宋" w:cs="仿宋"/>
          <w:spacing w:val="-1"/>
          <w:sz w:val="28"/>
          <w:szCs w:val="28"/>
        </w:rPr>
        <w:t>（一）认同并拥护本基金会宗旨，热心本基金会所</w:t>
      </w:r>
      <w:r>
        <w:rPr>
          <w:rFonts w:ascii="仿宋" w:hAnsi="仿宋" w:eastAsia="仿宋" w:cs="仿宋"/>
          <w:spacing w:val="-2"/>
          <w:sz w:val="28"/>
          <w:szCs w:val="28"/>
        </w:rPr>
        <w:t>从事的公益慈</w:t>
      </w:r>
      <w:r>
        <w:rPr>
          <w:rFonts w:ascii="仿宋" w:hAnsi="仿宋" w:eastAsia="仿宋" w:cs="仿宋"/>
          <w:sz w:val="28"/>
          <w:szCs w:val="28"/>
        </w:rPr>
        <w:t xml:space="preserve"> </w:t>
      </w:r>
      <w:r>
        <w:rPr>
          <w:rFonts w:ascii="仿宋" w:hAnsi="仿宋" w:eastAsia="仿宋" w:cs="仿宋"/>
          <w:spacing w:val="-2"/>
          <w:sz w:val="28"/>
          <w:szCs w:val="28"/>
        </w:rPr>
        <w:t>善事业，志愿服务于理事会；</w:t>
      </w:r>
    </w:p>
    <w:p w14:paraId="4F4020A4">
      <w:pPr>
        <w:spacing w:line="291" w:lineRule="auto"/>
        <w:rPr>
          <w:rFonts w:ascii="Arial"/>
          <w:sz w:val="21"/>
        </w:rPr>
      </w:pPr>
    </w:p>
    <w:p w14:paraId="4DC7E83D">
      <w:pPr>
        <w:spacing w:before="91" w:line="221" w:lineRule="auto"/>
        <w:ind w:left="513"/>
        <w:rPr>
          <w:rFonts w:ascii="仿宋" w:hAnsi="仿宋" w:eastAsia="仿宋" w:cs="仿宋"/>
          <w:sz w:val="28"/>
          <w:szCs w:val="28"/>
        </w:rPr>
      </w:pPr>
      <w:r>
        <w:rPr>
          <w:rFonts w:ascii="仿宋" w:hAnsi="仿宋" w:eastAsia="仿宋" w:cs="仿宋"/>
          <w:spacing w:val="-1"/>
          <w:sz w:val="28"/>
          <w:szCs w:val="28"/>
        </w:rPr>
        <w:t>（二）具有与理事工作相适应的工作阅历和工作经验；</w:t>
      </w:r>
    </w:p>
    <w:p w14:paraId="24ECDC6E">
      <w:pPr>
        <w:spacing w:line="291" w:lineRule="auto"/>
        <w:rPr>
          <w:rFonts w:ascii="Arial"/>
          <w:sz w:val="21"/>
        </w:rPr>
      </w:pPr>
    </w:p>
    <w:p w14:paraId="18142D78">
      <w:pPr>
        <w:spacing w:before="91" w:line="297" w:lineRule="auto"/>
        <w:ind w:left="32" w:right="13" w:firstLine="480"/>
        <w:rPr>
          <w:rFonts w:ascii="仿宋" w:hAnsi="仿宋" w:eastAsia="仿宋" w:cs="仿宋"/>
          <w:sz w:val="28"/>
          <w:szCs w:val="28"/>
        </w:rPr>
      </w:pPr>
      <w:r>
        <w:rPr>
          <w:rFonts w:ascii="仿宋" w:hAnsi="仿宋" w:eastAsia="仿宋" w:cs="仿宋"/>
          <w:spacing w:val="-1"/>
          <w:sz w:val="28"/>
          <w:szCs w:val="28"/>
        </w:rPr>
        <w:t>（三）具有完全民事能力，能根据本章程行使理事</w:t>
      </w:r>
      <w:r>
        <w:rPr>
          <w:rFonts w:ascii="仿宋" w:hAnsi="仿宋" w:eastAsia="仿宋" w:cs="仿宋"/>
          <w:spacing w:val="-2"/>
          <w:sz w:val="28"/>
          <w:szCs w:val="28"/>
        </w:rPr>
        <w:t>权利和履行理</w:t>
      </w:r>
      <w:r>
        <w:rPr>
          <w:rFonts w:ascii="仿宋" w:hAnsi="仿宋" w:eastAsia="仿宋" w:cs="仿宋"/>
          <w:sz w:val="28"/>
          <w:szCs w:val="28"/>
        </w:rPr>
        <w:t xml:space="preserve"> </w:t>
      </w:r>
      <w:r>
        <w:rPr>
          <w:rFonts w:ascii="仿宋" w:hAnsi="仿宋" w:eastAsia="仿宋" w:cs="仿宋"/>
          <w:spacing w:val="-5"/>
          <w:sz w:val="28"/>
          <w:szCs w:val="28"/>
        </w:rPr>
        <w:t>事义务；</w:t>
      </w:r>
    </w:p>
    <w:p w14:paraId="09E56317">
      <w:pPr>
        <w:spacing w:line="289" w:lineRule="auto"/>
        <w:rPr>
          <w:rFonts w:ascii="Arial"/>
          <w:sz w:val="21"/>
        </w:rPr>
      </w:pPr>
    </w:p>
    <w:p w14:paraId="3AB1B259">
      <w:pPr>
        <w:spacing w:before="91" w:line="295" w:lineRule="auto"/>
        <w:ind w:left="33" w:right="13" w:firstLine="479"/>
        <w:rPr>
          <w:rFonts w:ascii="仿宋" w:hAnsi="仿宋" w:eastAsia="仿宋" w:cs="仿宋"/>
          <w:sz w:val="28"/>
          <w:szCs w:val="28"/>
        </w:rPr>
      </w:pPr>
      <w:r>
        <w:rPr>
          <w:rFonts w:ascii="仿宋" w:hAnsi="仿宋" w:eastAsia="仿宋" w:cs="仿宋"/>
          <w:spacing w:val="-1"/>
          <w:sz w:val="28"/>
          <w:szCs w:val="28"/>
        </w:rPr>
        <w:t>（四）能够独立、客观、谨慎地参与议事决策，保</w:t>
      </w:r>
      <w:r>
        <w:rPr>
          <w:rFonts w:ascii="仿宋" w:hAnsi="仿宋" w:eastAsia="仿宋" w:cs="仿宋"/>
          <w:spacing w:val="-2"/>
          <w:sz w:val="28"/>
          <w:szCs w:val="28"/>
        </w:rPr>
        <w:t>障捐助财产的</w:t>
      </w:r>
      <w:r>
        <w:rPr>
          <w:rFonts w:ascii="仿宋" w:hAnsi="仿宋" w:eastAsia="仿宋" w:cs="仿宋"/>
          <w:sz w:val="28"/>
          <w:szCs w:val="28"/>
        </w:rPr>
        <w:t xml:space="preserve"> </w:t>
      </w:r>
      <w:r>
        <w:rPr>
          <w:rFonts w:ascii="仿宋" w:hAnsi="仿宋" w:eastAsia="仿宋" w:cs="仿宋"/>
          <w:spacing w:val="-1"/>
          <w:sz w:val="28"/>
          <w:szCs w:val="28"/>
        </w:rPr>
        <w:t>使用符合捐助人的意愿和本基金会的公益目的。</w:t>
      </w:r>
    </w:p>
    <w:p w14:paraId="0637ABAF">
      <w:pPr>
        <w:spacing w:line="293" w:lineRule="auto"/>
        <w:rPr>
          <w:rFonts w:ascii="Arial"/>
          <w:sz w:val="21"/>
        </w:rPr>
      </w:pPr>
    </w:p>
    <w:p w14:paraId="0F8DA49E">
      <w:pPr>
        <w:spacing w:before="91" w:line="223" w:lineRule="auto"/>
        <w:ind w:left="603"/>
        <w:rPr>
          <w:rFonts w:ascii="仿宋" w:hAnsi="仿宋" w:eastAsia="仿宋" w:cs="仿宋"/>
          <w:sz w:val="28"/>
          <w:szCs w:val="28"/>
        </w:rPr>
      </w:pPr>
      <w:r>
        <w:rPr>
          <w:rFonts w:ascii="仿宋" w:hAnsi="仿宋" w:eastAsia="仿宋" w:cs="仿宋"/>
          <w:b/>
          <w:bCs/>
          <w:spacing w:val="-3"/>
          <w:sz w:val="28"/>
          <w:szCs w:val="28"/>
        </w:rPr>
        <w:t>第十一条</w:t>
      </w:r>
      <w:r>
        <w:rPr>
          <w:rFonts w:ascii="仿宋" w:hAnsi="仿宋" w:eastAsia="仿宋" w:cs="仿宋"/>
          <w:spacing w:val="-3"/>
          <w:sz w:val="28"/>
          <w:szCs w:val="28"/>
        </w:rPr>
        <w:t xml:space="preserve"> 理事的产生和罢免：</w:t>
      </w:r>
    </w:p>
    <w:p w14:paraId="71EF9ADA">
      <w:pPr>
        <w:spacing w:line="287" w:lineRule="auto"/>
        <w:rPr>
          <w:rFonts w:ascii="Arial"/>
          <w:sz w:val="21"/>
        </w:rPr>
      </w:pPr>
    </w:p>
    <w:p w14:paraId="79A140D3">
      <w:pPr>
        <w:spacing w:before="92" w:line="296" w:lineRule="auto"/>
        <w:ind w:left="33" w:right="13" w:firstLine="479"/>
        <w:rPr>
          <w:rFonts w:ascii="仿宋" w:hAnsi="仿宋" w:eastAsia="仿宋" w:cs="仿宋"/>
          <w:sz w:val="28"/>
          <w:szCs w:val="28"/>
        </w:rPr>
      </w:pPr>
      <w:r>
        <w:rPr>
          <w:rFonts w:ascii="仿宋" w:hAnsi="仿宋" w:eastAsia="仿宋" w:cs="仿宋"/>
          <w:spacing w:val="-1"/>
          <w:sz w:val="28"/>
          <w:szCs w:val="28"/>
        </w:rPr>
        <w:t>（一）第一届理事由业务主管单位、主要捐赠人、</w:t>
      </w:r>
      <w:r>
        <w:rPr>
          <w:rFonts w:ascii="仿宋" w:hAnsi="仿宋" w:eastAsia="仿宋" w:cs="仿宋"/>
          <w:spacing w:val="-2"/>
          <w:sz w:val="28"/>
          <w:szCs w:val="28"/>
        </w:rPr>
        <w:t>发起人分别提</w:t>
      </w:r>
      <w:r>
        <w:rPr>
          <w:rFonts w:ascii="仿宋" w:hAnsi="仿宋" w:eastAsia="仿宋" w:cs="仿宋"/>
          <w:sz w:val="28"/>
          <w:szCs w:val="28"/>
        </w:rPr>
        <w:t xml:space="preserve"> </w:t>
      </w:r>
      <w:r>
        <w:rPr>
          <w:rFonts w:ascii="仿宋" w:hAnsi="仿宋" w:eastAsia="仿宋" w:cs="仿宋"/>
          <w:spacing w:val="-2"/>
          <w:sz w:val="28"/>
          <w:szCs w:val="28"/>
        </w:rPr>
        <w:t>名并共同协商确定；</w:t>
      </w:r>
    </w:p>
    <w:p w14:paraId="4D21ED82">
      <w:pPr>
        <w:spacing w:line="290" w:lineRule="auto"/>
        <w:rPr>
          <w:rFonts w:ascii="Arial"/>
          <w:sz w:val="21"/>
        </w:rPr>
      </w:pPr>
    </w:p>
    <w:p w14:paraId="6D1F952A">
      <w:pPr>
        <w:spacing w:before="91" w:line="360" w:lineRule="auto"/>
        <w:ind w:left="37" w:right="13" w:firstLine="476"/>
        <w:jc w:val="both"/>
        <w:rPr>
          <w:rFonts w:ascii="仿宋" w:hAnsi="仿宋" w:eastAsia="仿宋" w:cs="仿宋"/>
          <w:sz w:val="28"/>
          <w:szCs w:val="28"/>
        </w:rPr>
      </w:pPr>
      <w:r>
        <w:rPr>
          <w:rFonts w:ascii="仿宋" w:hAnsi="仿宋" w:eastAsia="仿宋" w:cs="仿宋"/>
          <w:spacing w:val="-1"/>
          <w:sz w:val="28"/>
          <w:szCs w:val="28"/>
        </w:rPr>
        <w:t>（二）理事会换届改选时，由业务主管单位、理事</w:t>
      </w:r>
      <w:r>
        <w:rPr>
          <w:rFonts w:ascii="仿宋" w:hAnsi="仿宋" w:eastAsia="仿宋" w:cs="仿宋"/>
          <w:spacing w:val="-2"/>
          <w:sz w:val="28"/>
          <w:szCs w:val="28"/>
        </w:rPr>
        <w:t>会、主要捐赠</w:t>
      </w:r>
      <w:r>
        <w:rPr>
          <w:rFonts w:ascii="仿宋" w:hAnsi="仿宋" w:eastAsia="仿宋" w:cs="仿宋"/>
          <w:sz w:val="28"/>
          <w:szCs w:val="28"/>
        </w:rPr>
        <w:t xml:space="preserve"> </w:t>
      </w:r>
      <w:r>
        <w:rPr>
          <w:rFonts w:ascii="仿宋" w:hAnsi="仿宋" w:eastAsia="仿宋" w:cs="仿宋"/>
          <w:spacing w:val="-4"/>
          <w:sz w:val="28"/>
          <w:szCs w:val="28"/>
        </w:rPr>
        <w:t>人共同提名候选人并组织换届领导小组，组织全部候选人共同选举产</w:t>
      </w:r>
      <w:r>
        <w:rPr>
          <w:rFonts w:ascii="仿宋" w:hAnsi="仿宋" w:eastAsia="仿宋" w:cs="仿宋"/>
          <w:spacing w:val="2"/>
          <w:sz w:val="28"/>
          <w:szCs w:val="28"/>
        </w:rPr>
        <w:t xml:space="preserve"> </w:t>
      </w:r>
      <w:r>
        <w:rPr>
          <w:rFonts w:ascii="仿宋" w:hAnsi="仿宋" w:eastAsia="仿宋" w:cs="仿宋"/>
          <w:spacing w:val="-4"/>
          <w:sz w:val="28"/>
          <w:szCs w:val="28"/>
        </w:rPr>
        <w:t>生新一届理事；</w:t>
      </w:r>
    </w:p>
    <w:p w14:paraId="1114C523">
      <w:pPr>
        <w:spacing w:before="205" w:line="296" w:lineRule="auto"/>
        <w:ind w:left="54" w:right="13" w:firstLine="458"/>
        <w:rPr>
          <w:rFonts w:ascii="仿宋" w:hAnsi="仿宋" w:eastAsia="仿宋" w:cs="仿宋"/>
          <w:sz w:val="28"/>
          <w:szCs w:val="28"/>
        </w:rPr>
      </w:pPr>
      <w:r>
        <w:rPr>
          <w:rFonts w:ascii="仿宋" w:hAnsi="仿宋" w:eastAsia="仿宋" w:cs="仿宋"/>
          <w:spacing w:val="-1"/>
          <w:sz w:val="28"/>
          <w:szCs w:val="28"/>
        </w:rPr>
        <w:t>（三）罢免、增补理事应当经理事会表决通过，报</w:t>
      </w:r>
      <w:r>
        <w:rPr>
          <w:rFonts w:ascii="仿宋" w:hAnsi="仿宋" w:eastAsia="仿宋" w:cs="仿宋"/>
          <w:spacing w:val="-2"/>
          <w:sz w:val="28"/>
          <w:szCs w:val="28"/>
        </w:rPr>
        <w:t>业务主管单位</w:t>
      </w:r>
      <w:r>
        <w:rPr>
          <w:rFonts w:ascii="仿宋" w:hAnsi="仿宋" w:eastAsia="仿宋" w:cs="仿宋"/>
          <w:sz w:val="28"/>
          <w:szCs w:val="28"/>
        </w:rPr>
        <w:t xml:space="preserve"> </w:t>
      </w:r>
      <w:r>
        <w:rPr>
          <w:rFonts w:ascii="仿宋" w:hAnsi="仿宋" w:eastAsia="仿宋" w:cs="仿宋"/>
          <w:spacing w:val="-8"/>
          <w:sz w:val="28"/>
          <w:szCs w:val="28"/>
        </w:rPr>
        <w:t>审查同意；</w:t>
      </w:r>
    </w:p>
    <w:p w14:paraId="71A9827C">
      <w:pPr>
        <w:spacing w:line="291" w:lineRule="auto"/>
        <w:rPr>
          <w:rFonts w:ascii="Arial"/>
          <w:sz w:val="21"/>
        </w:rPr>
      </w:pPr>
    </w:p>
    <w:p w14:paraId="1DD0C224">
      <w:pPr>
        <w:spacing w:before="91" w:line="223" w:lineRule="auto"/>
        <w:ind w:left="513"/>
        <w:rPr>
          <w:rFonts w:ascii="仿宋" w:hAnsi="仿宋" w:eastAsia="仿宋" w:cs="仿宋"/>
          <w:sz w:val="28"/>
          <w:szCs w:val="28"/>
        </w:rPr>
      </w:pPr>
      <w:r>
        <w:rPr>
          <w:rFonts w:ascii="仿宋" w:hAnsi="仿宋" w:eastAsia="仿宋" w:cs="仿宋"/>
          <w:spacing w:val="-1"/>
          <w:sz w:val="28"/>
          <w:szCs w:val="28"/>
        </w:rPr>
        <w:t>（四）理事的选举和罢免结果报登记管理机关备案。</w:t>
      </w:r>
    </w:p>
    <w:p w14:paraId="45D682A1">
      <w:pPr>
        <w:spacing w:line="223" w:lineRule="auto"/>
        <w:rPr>
          <w:rFonts w:ascii="仿宋" w:hAnsi="仿宋" w:eastAsia="仿宋" w:cs="仿宋"/>
          <w:sz w:val="28"/>
          <w:szCs w:val="28"/>
        </w:rPr>
        <w:sectPr>
          <w:footerReference r:id="rId8" w:type="default"/>
          <w:pgSz w:w="11906" w:h="16839"/>
          <w:pgMar w:top="400" w:right="1785" w:bottom="1151" w:left="1785" w:header="0" w:footer="989" w:gutter="0"/>
          <w:pgNumType w:fmt="decimal"/>
          <w:cols w:space="720" w:num="1"/>
        </w:sectPr>
      </w:pPr>
    </w:p>
    <w:p w14:paraId="4E3132FC">
      <w:pPr>
        <w:spacing w:line="286" w:lineRule="auto"/>
        <w:rPr>
          <w:rFonts w:ascii="Arial"/>
          <w:sz w:val="21"/>
        </w:rPr>
      </w:pPr>
    </w:p>
    <w:p w14:paraId="4865F731">
      <w:pPr>
        <w:spacing w:line="287" w:lineRule="auto"/>
        <w:rPr>
          <w:rFonts w:ascii="Arial"/>
          <w:sz w:val="21"/>
        </w:rPr>
      </w:pPr>
    </w:p>
    <w:p w14:paraId="1C9D22EC">
      <w:pPr>
        <w:spacing w:line="287" w:lineRule="auto"/>
        <w:rPr>
          <w:rFonts w:ascii="Arial"/>
          <w:sz w:val="21"/>
        </w:rPr>
      </w:pPr>
    </w:p>
    <w:p w14:paraId="13FBEAEE">
      <w:pPr>
        <w:spacing w:line="287" w:lineRule="auto"/>
        <w:rPr>
          <w:rFonts w:ascii="Arial"/>
          <w:sz w:val="21"/>
        </w:rPr>
      </w:pPr>
    </w:p>
    <w:p w14:paraId="70EA6D31">
      <w:pPr>
        <w:spacing w:before="91" w:line="223" w:lineRule="auto"/>
        <w:ind w:left="603"/>
        <w:rPr>
          <w:rFonts w:ascii="仿宋" w:hAnsi="仿宋" w:eastAsia="仿宋" w:cs="仿宋"/>
          <w:sz w:val="28"/>
          <w:szCs w:val="28"/>
        </w:rPr>
      </w:pPr>
      <w:bookmarkStart w:id="11" w:name="bookmark15"/>
      <w:bookmarkEnd w:id="11"/>
      <w:r>
        <w:rPr>
          <w:rFonts w:ascii="仿宋" w:hAnsi="仿宋" w:eastAsia="仿宋" w:cs="仿宋"/>
          <w:b/>
          <w:bCs/>
          <w:spacing w:val="-3"/>
          <w:sz w:val="28"/>
          <w:szCs w:val="28"/>
        </w:rPr>
        <w:t>第十二条</w:t>
      </w:r>
      <w:r>
        <w:rPr>
          <w:rFonts w:ascii="仿宋" w:hAnsi="仿宋" w:eastAsia="仿宋" w:cs="仿宋"/>
          <w:spacing w:val="-3"/>
          <w:sz w:val="28"/>
          <w:szCs w:val="28"/>
        </w:rPr>
        <w:t xml:space="preserve"> 理事的权利和义务：</w:t>
      </w:r>
    </w:p>
    <w:p w14:paraId="4584FD93">
      <w:pPr>
        <w:spacing w:line="291" w:lineRule="auto"/>
        <w:rPr>
          <w:rFonts w:ascii="Arial"/>
          <w:sz w:val="21"/>
        </w:rPr>
      </w:pPr>
    </w:p>
    <w:p w14:paraId="0156D8E3">
      <w:pPr>
        <w:spacing w:before="91" w:line="223" w:lineRule="auto"/>
        <w:ind w:left="513"/>
        <w:rPr>
          <w:rFonts w:ascii="仿宋" w:hAnsi="仿宋" w:eastAsia="仿宋" w:cs="仿宋"/>
          <w:sz w:val="28"/>
          <w:szCs w:val="28"/>
        </w:rPr>
      </w:pPr>
      <w:r>
        <w:rPr>
          <w:rFonts w:ascii="仿宋" w:hAnsi="仿宋" w:eastAsia="仿宋" w:cs="仿宋"/>
          <w:spacing w:val="-1"/>
          <w:sz w:val="28"/>
          <w:szCs w:val="28"/>
        </w:rPr>
        <w:t>（一）本基金会的选举权、被选举权和表决权；</w:t>
      </w:r>
    </w:p>
    <w:p w14:paraId="5798D2E5">
      <w:pPr>
        <w:spacing w:line="288" w:lineRule="auto"/>
        <w:rPr>
          <w:rFonts w:ascii="Arial"/>
          <w:sz w:val="21"/>
        </w:rPr>
      </w:pPr>
    </w:p>
    <w:p w14:paraId="1CA826F4">
      <w:pPr>
        <w:spacing w:before="91" w:line="221" w:lineRule="auto"/>
        <w:ind w:left="513"/>
        <w:rPr>
          <w:rFonts w:ascii="仿宋" w:hAnsi="仿宋" w:eastAsia="仿宋" w:cs="仿宋"/>
          <w:sz w:val="28"/>
          <w:szCs w:val="28"/>
        </w:rPr>
      </w:pPr>
      <w:r>
        <w:rPr>
          <w:rFonts w:ascii="仿宋" w:hAnsi="仿宋" w:eastAsia="仿宋" w:cs="仿宋"/>
          <w:spacing w:val="-1"/>
          <w:sz w:val="28"/>
          <w:szCs w:val="28"/>
        </w:rPr>
        <w:t>（二）有对本基金会工作的批评建议权和监督权；</w:t>
      </w:r>
    </w:p>
    <w:p w14:paraId="74335858">
      <w:pPr>
        <w:spacing w:line="292" w:lineRule="auto"/>
        <w:rPr>
          <w:rFonts w:ascii="Arial"/>
          <w:sz w:val="21"/>
        </w:rPr>
      </w:pPr>
    </w:p>
    <w:p w14:paraId="05C0B08F">
      <w:pPr>
        <w:spacing w:before="91" w:line="223" w:lineRule="auto"/>
        <w:ind w:left="513"/>
        <w:rPr>
          <w:rFonts w:ascii="仿宋" w:hAnsi="仿宋" w:eastAsia="仿宋" w:cs="仿宋"/>
          <w:sz w:val="28"/>
          <w:szCs w:val="28"/>
        </w:rPr>
      </w:pPr>
      <w:r>
        <w:rPr>
          <w:rFonts w:ascii="仿宋" w:hAnsi="仿宋" w:eastAsia="仿宋" w:cs="仿宋"/>
          <w:spacing w:val="-2"/>
          <w:sz w:val="28"/>
          <w:szCs w:val="28"/>
        </w:rPr>
        <w:t>（三）参加会议和活动权；</w:t>
      </w:r>
    </w:p>
    <w:p w14:paraId="01D35901">
      <w:pPr>
        <w:spacing w:line="291" w:lineRule="auto"/>
        <w:rPr>
          <w:rFonts w:ascii="Arial"/>
          <w:sz w:val="21"/>
        </w:rPr>
      </w:pPr>
    </w:p>
    <w:p w14:paraId="14F32830">
      <w:pPr>
        <w:spacing w:before="91" w:line="221" w:lineRule="auto"/>
        <w:ind w:left="513"/>
        <w:rPr>
          <w:rFonts w:ascii="仿宋" w:hAnsi="仿宋" w:eastAsia="仿宋" w:cs="仿宋"/>
          <w:sz w:val="28"/>
          <w:szCs w:val="28"/>
        </w:rPr>
      </w:pPr>
      <w:r>
        <w:rPr>
          <w:rFonts w:ascii="仿宋" w:hAnsi="仿宋" w:eastAsia="仿宋" w:cs="仿宋"/>
          <w:spacing w:val="-1"/>
          <w:sz w:val="28"/>
          <w:szCs w:val="28"/>
        </w:rPr>
        <w:t>（四）对本基金会的各项工作具有知情权；</w:t>
      </w:r>
    </w:p>
    <w:p w14:paraId="32E862C1">
      <w:pPr>
        <w:spacing w:line="292" w:lineRule="auto"/>
        <w:rPr>
          <w:rFonts w:ascii="Arial"/>
          <w:sz w:val="21"/>
        </w:rPr>
      </w:pPr>
    </w:p>
    <w:p w14:paraId="2D681D9E">
      <w:pPr>
        <w:spacing w:before="91" w:line="223" w:lineRule="auto"/>
        <w:ind w:left="513"/>
        <w:rPr>
          <w:rFonts w:ascii="仿宋" w:hAnsi="仿宋" w:eastAsia="仿宋" w:cs="仿宋"/>
          <w:sz w:val="28"/>
          <w:szCs w:val="28"/>
        </w:rPr>
      </w:pPr>
      <w:r>
        <w:rPr>
          <w:rFonts w:ascii="仿宋" w:hAnsi="仿宋" w:eastAsia="仿宋" w:cs="仿宋"/>
          <w:spacing w:val="-2"/>
          <w:sz w:val="28"/>
          <w:szCs w:val="28"/>
        </w:rPr>
        <w:t>（五）书面提出不再担任理事的权利；</w:t>
      </w:r>
    </w:p>
    <w:p w14:paraId="31B90B12">
      <w:pPr>
        <w:spacing w:line="290" w:lineRule="auto"/>
        <w:rPr>
          <w:rFonts w:ascii="Arial"/>
          <w:sz w:val="21"/>
        </w:rPr>
      </w:pPr>
    </w:p>
    <w:p w14:paraId="5EBA49F7">
      <w:pPr>
        <w:spacing w:before="92" w:line="222" w:lineRule="auto"/>
        <w:ind w:left="513"/>
        <w:rPr>
          <w:rFonts w:ascii="仿宋" w:hAnsi="仿宋" w:eastAsia="仿宋" w:cs="仿宋"/>
          <w:sz w:val="28"/>
          <w:szCs w:val="28"/>
        </w:rPr>
      </w:pPr>
      <w:r>
        <w:rPr>
          <w:rFonts w:ascii="仿宋" w:hAnsi="仿宋" w:eastAsia="仿宋" w:cs="仿宋"/>
          <w:spacing w:val="-2"/>
          <w:sz w:val="28"/>
          <w:szCs w:val="28"/>
        </w:rPr>
        <w:t>（六）执行理事会决议的义务；</w:t>
      </w:r>
    </w:p>
    <w:p w14:paraId="4CEB2FDC">
      <w:pPr>
        <w:spacing w:line="291" w:lineRule="auto"/>
        <w:rPr>
          <w:rFonts w:ascii="Arial"/>
          <w:sz w:val="21"/>
        </w:rPr>
      </w:pPr>
    </w:p>
    <w:p w14:paraId="18EF1BAB">
      <w:pPr>
        <w:spacing w:before="91" w:line="223" w:lineRule="auto"/>
        <w:ind w:left="513"/>
        <w:rPr>
          <w:rFonts w:ascii="仿宋" w:hAnsi="仿宋" w:eastAsia="仿宋" w:cs="仿宋"/>
          <w:sz w:val="28"/>
          <w:szCs w:val="28"/>
        </w:rPr>
      </w:pPr>
      <w:r>
        <w:rPr>
          <w:rFonts w:ascii="仿宋" w:hAnsi="仿宋" w:eastAsia="仿宋" w:cs="仿宋"/>
          <w:spacing w:val="-1"/>
          <w:sz w:val="28"/>
          <w:szCs w:val="28"/>
        </w:rPr>
        <w:t>（七）有遵守法律、法规和本会章程规定的义务；</w:t>
      </w:r>
    </w:p>
    <w:p w14:paraId="5D0044D7">
      <w:pPr>
        <w:spacing w:line="290" w:lineRule="auto"/>
        <w:rPr>
          <w:rFonts w:ascii="Arial"/>
          <w:sz w:val="21"/>
        </w:rPr>
      </w:pPr>
    </w:p>
    <w:p w14:paraId="37A12A9A">
      <w:pPr>
        <w:spacing w:before="92" w:line="296" w:lineRule="auto"/>
        <w:ind w:left="40" w:right="77" w:firstLine="472"/>
        <w:rPr>
          <w:rFonts w:ascii="仿宋" w:hAnsi="仿宋" w:eastAsia="仿宋" w:cs="仿宋"/>
          <w:sz w:val="28"/>
          <w:szCs w:val="28"/>
        </w:rPr>
      </w:pPr>
      <w:r>
        <w:rPr>
          <w:rFonts w:ascii="仿宋" w:hAnsi="仿宋" w:eastAsia="仿宋" w:cs="仿宋"/>
          <w:spacing w:val="-1"/>
          <w:sz w:val="28"/>
          <w:szCs w:val="28"/>
        </w:rPr>
        <w:t>（八）认真履行职责，切实维护本基金会的声誉和</w:t>
      </w:r>
      <w:r>
        <w:rPr>
          <w:rFonts w:ascii="仿宋" w:hAnsi="仿宋" w:eastAsia="仿宋" w:cs="仿宋"/>
          <w:spacing w:val="-2"/>
          <w:sz w:val="28"/>
          <w:szCs w:val="28"/>
        </w:rPr>
        <w:t>合法权益的义</w:t>
      </w:r>
      <w:r>
        <w:rPr>
          <w:rFonts w:ascii="仿宋" w:hAnsi="仿宋" w:eastAsia="仿宋" w:cs="仿宋"/>
          <w:sz w:val="28"/>
          <w:szCs w:val="28"/>
        </w:rPr>
        <w:t xml:space="preserve"> </w:t>
      </w:r>
      <w:r>
        <w:rPr>
          <w:rFonts w:ascii="仿宋" w:hAnsi="仿宋" w:eastAsia="仿宋" w:cs="仿宋"/>
          <w:spacing w:val="-13"/>
          <w:sz w:val="28"/>
          <w:szCs w:val="28"/>
        </w:rPr>
        <w:t>务；</w:t>
      </w:r>
    </w:p>
    <w:p w14:paraId="2EF41623">
      <w:pPr>
        <w:spacing w:line="288" w:lineRule="auto"/>
        <w:rPr>
          <w:rFonts w:ascii="Arial"/>
          <w:sz w:val="21"/>
        </w:rPr>
      </w:pPr>
    </w:p>
    <w:p w14:paraId="4F8379A4">
      <w:pPr>
        <w:spacing w:before="92" w:line="221" w:lineRule="auto"/>
        <w:jc w:val="right"/>
        <w:rPr>
          <w:rFonts w:ascii="仿宋" w:hAnsi="仿宋" w:eastAsia="仿宋" w:cs="仿宋"/>
          <w:sz w:val="28"/>
          <w:szCs w:val="28"/>
        </w:rPr>
      </w:pPr>
      <w:r>
        <w:rPr>
          <w:rFonts w:ascii="仿宋" w:hAnsi="仿宋" w:eastAsia="仿宋" w:cs="仿宋"/>
          <w:spacing w:val="-8"/>
          <w:sz w:val="28"/>
          <w:szCs w:val="28"/>
        </w:rPr>
        <w:t>（九）支持本基金会的工作，与基金会秘书处建立良性</w:t>
      </w:r>
      <w:r>
        <w:rPr>
          <w:rFonts w:ascii="仿宋" w:hAnsi="仿宋" w:eastAsia="仿宋" w:cs="仿宋"/>
          <w:spacing w:val="-9"/>
          <w:sz w:val="28"/>
          <w:szCs w:val="28"/>
        </w:rPr>
        <w:t>互动关系；</w:t>
      </w:r>
    </w:p>
    <w:p w14:paraId="276EA0BA">
      <w:pPr>
        <w:spacing w:line="293" w:lineRule="auto"/>
        <w:rPr>
          <w:rFonts w:ascii="Arial"/>
          <w:sz w:val="21"/>
        </w:rPr>
      </w:pPr>
    </w:p>
    <w:p w14:paraId="3E154B4B">
      <w:pPr>
        <w:spacing w:before="91" w:line="297" w:lineRule="auto"/>
        <w:ind w:left="37" w:right="77" w:firstLine="476"/>
        <w:rPr>
          <w:rFonts w:ascii="仿宋" w:hAnsi="仿宋" w:eastAsia="仿宋" w:cs="仿宋"/>
          <w:sz w:val="28"/>
          <w:szCs w:val="28"/>
        </w:rPr>
      </w:pPr>
      <w:r>
        <w:rPr>
          <w:rFonts w:ascii="仿宋" w:hAnsi="仿宋" w:eastAsia="仿宋" w:cs="仿宋"/>
          <w:spacing w:val="-1"/>
          <w:sz w:val="28"/>
          <w:szCs w:val="28"/>
        </w:rPr>
        <w:t>（十）动员社会力量拓展资金来源渠道，为本基金</w:t>
      </w:r>
      <w:r>
        <w:rPr>
          <w:rFonts w:ascii="仿宋" w:hAnsi="仿宋" w:eastAsia="仿宋" w:cs="仿宋"/>
          <w:spacing w:val="-2"/>
          <w:sz w:val="28"/>
          <w:szCs w:val="28"/>
        </w:rPr>
        <w:t>会的发展贡献</w:t>
      </w:r>
      <w:r>
        <w:rPr>
          <w:rFonts w:ascii="仿宋" w:hAnsi="仿宋" w:eastAsia="仿宋" w:cs="仿宋"/>
          <w:sz w:val="28"/>
          <w:szCs w:val="28"/>
        </w:rPr>
        <w:t xml:space="preserve"> </w:t>
      </w:r>
      <w:r>
        <w:rPr>
          <w:rFonts w:ascii="仿宋" w:hAnsi="仿宋" w:eastAsia="仿宋" w:cs="仿宋"/>
          <w:spacing w:val="-8"/>
          <w:sz w:val="28"/>
          <w:szCs w:val="28"/>
        </w:rPr>
        <w:t>力量。</w:t>
      </w:r>
    </w:p>
    <w:p w14:paraId="4EBFD6A8">
      <w:pPr>
        <w:spacing w:line="286" w:lineRule="auto"/>
        <w:rPr>
          <w:rFonts w:ascii="Arial"/>
          <w:sz w:val="21"/>
        </w:rPr>
      </w:pPr>
    </w:p>
    <w:p w14:paraId="313C6F61">
      <w:pPr>
        <w:spacing w:before="91" w:line="222" w:lineRule="auto"/>
        <w:jc w:val="right"/>
        <w:rPr>
          <w:rFonts w:ascii="仿宋" w:hAnsi="仿宋" w:eastAsia="仿宋" w:cs="仿宋"/>
          <w:sz w:val="28"/>
          <w:szCs w:val="28"/>
        </w:rPr>
      </w:pPr>
      <w:r>
        <w:rPr>
          <w:rFonts w:ascii="仿宋" w:hAnsi="仿宋" w:eastAsia="仿宋" w:cs="仿宋"/>
          <w:b/>
          <w:bCs/>
          <w:spacing w:val="-7"/>
          <w:sz w:val="28"/>
          <w:szCs w:val="28"/>
        </w:rPr>
        <w:t>第十三条</w:t>
      </w:r>
      <w:r>
        <w:rPr>
          <w:rFonts w:ascii="仿宋" w:hAnsi="仿宋" w:eastAsia="仿宋" w:cs="仿宋"/>
          <w:spacing w:val="-7"/>
          <w:sz w:val="28"/>
          <w:szCs w:val="28"/>
        </w:rPr>
        <w:t xml:space="preserve"> 本基金会的决策机构是理事会。理事会行使下列职权：</w:t>
      </w:r>
    </w:p>
    <w:p w14:paraId="783188D2">
      <w:pPr>
        <w:spacing w:line="293" w:lineRule="auto"/>
        <w:rPr>
          <w:rFonts w:ascii="Arial"/>
          <w:sz w:val="21"/>
        </w:rPr>
      </w:pPr>
    </w:p>
    <w:p w14:paraId="03977B44">
      <w:pPr>
        <w:spacing w:before="92" w:line="222" w:lineRule="auto"/>
        <w:ind w:left="513"/>
        <w:rPr>
          <w:rFonts w:ascii="仿宋" w:hAnsi="仿宋" w:eastAsia="仿宋" w:cs="仿宋"/>
          <w:sz w:val="28"/>
          <w:szCs w:val="28"/>
        </w:rPr>
      </w:pPr>
      <w:r>
        <w:rPr>
          <w:rFonts w:ascii="仿宋" w:hAnsi="仿宋" w:eastAsia="仿宋" w:cs="仿宋"/>
          <w:spacing w:val="-2"/>
          <w:sz w:val="28"/>
          <w:szCs w:val="28"/>
        </w:rPr>
        <w:t>（一）制定、修改章程；</w:t>
      </w:r>
    </w:p>
    <w:p w14:paraId="69E6C7B8">
      <w:pPr>
        <w:spacing w:line="290" w:lineRule="auto"/>
        <w:rPr>
          <w:rFonts w:ascii="Arial"/>
          <w:sz w:val="21"/>
        </w:rPr>
      </w:pPr>
    </w:p>
    <w:p w14:paraId="48FA2F36">
      <w:pPr>
        <w:spacing w:before="91" w:line="223" w:lineRule="auto"/>
        <w:ind w:left="513"/>
        <w:rPr>
          <w:rFonts w:ascii="仿宋" w:hAnsi="仿宋" w:eastAsia="仿宋" w:cs="仿宋"/>
          <w:sz w:val="28"/>
          <w:szCs w:val="28"/>
        </w:rPr>
      </w:pPr>
      <w:r>
        <w:rPr>
          <w:rFonts w:ascii="仿宋" w:hAnsi="仿宋" w:eastAsia="仿宋" w:cs="仿宋"/>
          <w:spacing w:val="-1"/>
          <w:sz w:val="28"/>
          <w:szCs w:val="28"/>
        </w:rPr>
        <w:t>（二）选举、罢免理事长、副理事长、秘书长；</w:t>
      </w:r>
    </w:p>
    <w:p w14:paraId="0B5B5351">
      <w:pPr>
        <w:spacing w:line="290" w:lineRule="auto"/>
        <w:rPr>
          <w:rFonts w:ascii="Arial"/>
          <w:sz w:val="21"/>
        </w:rPr>
      </w:pPr>
    </w:p>
    <w:p w14:paraId="44A3315B">
      <w:pPr>
        <w:spacing w:before="92" w:line="296" w:lineRule="auto"/>
        <w:ind w:left="36" w:right="77" w:firstLine="477"/>
        <w:rPr>
          <w:rFonts w:ascii="仿宋" w:hAnsi="仿宋" w:eastAsia="仿宋" w:cs="仿宋"/>
          <w:sz w:val="28"/>
          <w:szCs w:val="28"/>
        </w:rPr>
      </w:pPr>
      <w:r>
        <w:rPr>
          <w:rFonts w:ascii="仿宋" w:hAnsi="仿宋" w:eastAsia="仿宋" w:cs="仿宋"/>
          <w:spacing w:val="-1"/>
          <w:sz w:val="28"/>
          <w:szCs w:val="28"/>
        </w:rPr>
        <w:t>（三）决定重大业务活动计划，包括资金的募集、</w:t>
      </w:r>
      <w:r>
        <w:rPr>
          <w:rFonts w:ascii="仿宋" w:hAnsi="仿宋" w:eastAsia="仿宋" w:cs="仿宋"/>
          <w:spacing w:val="-2"/>
          <w:sz w:val="28"/>
          <w:szCs w:val="28"/>
        </w:rPr>
        <w:t>管理和使用计</w:t>
      </w:r>
      <w:r>
        <w:rPr>
          <w:rFonts w:ascii="仿宋" w:hAnsi="仿宋" w:eastAsia="仿宋" w:cs="仿宋"/>
          <w:sz w:val="28"/>
          <w:szCs w:val="28"/>
        </w:rPr>
        <w:t xml:space="preserve"> </w:t>
      </w:r>
      <w:r>
        <w:rPr>
          <w:rFonts w:ascii="仿宋" w:hAnsi="仿宋" w:eastAsia="仿宋" w:cs="仿宋"/>
          <w:spacing w:val="-11"/>
          <w:sz w:val="28"/>
          <w:szCs w:val="28"/>
        </w:rPr>
        <w:t>划；</w:t>
      </w:r>
    </w:p>
    <w:p w14:paraId="66930B8A">
      <w:pPr>
        <w:spacing w:line="289" w:lineRule="auto"/>
        <w:rPr>
          <w:rFonts w:ascii="Arial"/>
          <w:sz w:val="21"/>
        </w:rPr>
      </w:pPr>
    </w:p>
    <w:p w14:paraId="341D0EAA">
      <w:pPr>
        <w:spacing w:before="92" w:line="222" w:lineRule="auto"/>
        <w:ind w:left="513"/>
        <w:rPr>
          <w:rFonts w:ascii="仿宋" w:hAnsi="仿宋" w:eastAsia="仿宋" w:cs="仿宋"/>
          <w:sz w:val="28"/>
          <w:szCs w:val="28"/>
        </w:rPr>
      </w:pPr>
      <w:r>
        <w:rPr>
          <w:rFonts w:ascii="仿宋" w:hAnsi="仿宋" w:eastAsia="仿宋" w:cs="仿宋"/>
          <w:spacing w:val="-2"/>
          <w:sz w:val="28"/>
          <w:szCs w:val="28"/>
        </w:rPr>
        <w:t>（四）年度收支预算及决算审定；</w:t>
      </w:r>
    </w:p>
    <w:p w14:paraId="369E7DD8">
      <w:pPr>
        <w:spacing w:line="292" w:lineRule="auto"/>
        <w:rPr>
          <w:rFonts w:ascii="Arial"/>
          <w:sz w:val="21"/>
        </w:rPr>
      </w:pPr>
    </w:p>
    <w:p w14:paraId="293AAC2D">
      <w:pPr>
        <w:spacing w:before="92" w:line="222" w:lineRule="auto"/>
        <w:ind w:left="513"/>
        <w:rPr>
          <w:rFonts w:ascii="仿宋" w:hAnsi="仿宋" w:eastAsia="仿宋" w:cs="仿宋"/>
          <w:sz w:val="28"/>
          <w:szCs w:val="28"/>
        </w:rPr>
      </w:pPr>
      <w:r>
        <w:rPr>
          <w:rFonts w:ascii="仿宋" w:hAnsi="仿宋" w:eastAsia="仿宋" w:cs="仿宋"/>
          <w:spacing w:val="-2"/>
          <w:sz w:val="28"/>
          <w:szCs w:val="28"/>
        </w:rPr>
        <w:t>（五）制定内部管理制度；</w:t>
      </w:r>
    </w:p>
    <w:p w14:paraId="13E77BCB">
      <w:pPr>
        <w:spacing w:line="222" w:lineRule="auto"/>
        <w:rPr>
          <w:rFonts w:ascii="仿宋" w:hAnsi="仿宋" w:eastAsia="仿宋" w:cs="仿宋"/>
          <w:sz w:val="28"/>
          <w:szCs w:val="28"/>
        </w:rPr>
        <w:sectPr>
          <w:footerReference r:id="rId9" w:type="default"/>
          <w:pgSz w:w="11906" w:h="16839"/>
          <w:pgMar w:top="400" w:right="1722" w:bottom="924" w:left="1785" w:header="0" w:footer="989" w:gutter="0"/>
          <w:pgNumType w:fmt="decimal"/>
          <w:cols w:space="720" w:num="1"/>
        </w:sectPr>
      </w:pPr>
    </w:p>
    <w:p w14:paraId="28AB85E6">
      <w:pPr>
        <w:spacing w:line="287" w:lineRule="auto"/>
        <w:rPr>
          <w:rFonts w:ascii="Arial"/>
          <w:sz w:val="21"/>
        </w:rPr>
      </w:pPr>
    </w:p>
    <w:p w14:paraId="2867C1F1">
      <w:pPr>
        <w:spacing w:line="287" w:lineRule="auto"/>
        <w:rPr>
          <w:rFonts w:ascii="Arial"/>
          <w:sz w:val="21"/>
        </w:rPr>
      </w:pPr>
    </w:p>
    <w:p w14:paraId="109F8EB3">
      <w:pPr>
        <w:spacing w:line="287" w:lineRule="auto"/>
        <w:rPr>
          <w:rFonts w:ascii="Arial"/>
          <w:sz w:val="21"/>
        </w:rPr>
      </w:pPr>
    </w:p>
    <w:p w14:paraId="486B85D4">
      <w:pPr>
        <w:spacing w:line="287" w:lineRule="auto"/>
        <w:rPr>
          <w:rFonts w:ascii="Arial"/>
          <w:sz w:val="21"/>
        </w:rPr>
      </w:pPr>
    </w:p>
    <w:p w14:paraId="1DB54049">
      <w:pPr>
        <w:spacing w:before="91" w:line="222" w:lineRule="auto"/>
        <w:ind w:left="513"/>
        <w:rPr>
          <w:rFonts w:ascii="仿宋" w:hAnsi="仿宋" w:eastAsia="仿宋" w:cs="仿宋"/>
          <w:sz w:val="28"/>
          <w:szCs w:val="28"/>
        </w:rPr>
      </w:pPr>
      <w:bookmarkStart w:id="12" w:name="bookmark16"/>
      <w:bookmarkEnd w:id="12"/>
      <w:r>
        <w:rPr>
          <w:rFonts w:ascii="仿宋" w:hAnsi="仿宋" w:eastAsia="仿宋" w:cs="仿宋"/>
          <w:spacing w:val="-1"/>
          <w:sz w:val="28"/>
          <w:szCs w:val="28"/>
        </w:rPr>
        <w:t>（六）决定由秘书长提名的副秘书长和各部门负责人的聘任；</w:t>
      </w:r>
    </w:p>
    <w:p w14:paraId="12D3BD8A">
      <w:pPr>
        <w:spacing w:line="292" w:lineRule="auto"/>
        <w:rPr>
          <w:rFonts w:ascii="Arial"/>
          <w:sz w:val="21"/>
        </w:rPr>
      </w:pPr>
    </w:p>
    <w:p w14:paraId="44CAB790">
      <w:pPr>
        <w:spacing w:before="91" w:line="221" w:lineRule="auto"/>
        <w:ind w:left="513"/>
        <w:rPr>
          <w:rFonts w:ascii="仿宋" w:hAnsi="仿宋" w:eastAsia="仿宋" w:cs="仿宋"/>
          <w:sz w:val="28"/>
          <w:szCs w:val="28"/>
        </w:rPr>
      </w:pPr>
      <w:r>
        <w:rPr>
          <w:rFonts w:ascii="仿宋" w:hAnsi="仿宋" w:eastAsia="仿宋" w:cs="仿宋"/>
          <w:spacing w:val="-1"/>
          <w:sz w:val="28"/>
          <w:szCs w:val="28"/>
        </w:rPr>
        <w:t>（七）听取、审议秘书长的工作报告，检查秘书长的工作；</w:t>
      </w:r>
    </w:p>
    <w:p w14:paraId="299A6F59">
      <w:pPr>
        <w:spacing w:line="292" w:lineRule="auto"/>
        <w:rPr>
          <w:rFonts w:ascii="Arial"/>
          <w:sz w:val="21"/>
        </w:rPr>
      </w:pPr>
    </w:p>
    <w:p w14:paraId="3B8AA0AC">
      <w:pPr>
        <w:spacing w:before="91" w:line="221" w:lineRule="auto"/>
        <w:ind w:left="513"/>
        <w:rPr>
          <w:rFonts w:ascii="仿宋" w:hAnsi="仿宋" w:eastAsia="仿宋" w:cs="仿宋"/>
          <w:sz w:val="28"/>
          <w:szCs w:val="28"/>
        </w:rPr>
      </w:pPr>
      <w:r>
        <w:rPr>
          <w:rFonts w:ascii="仿宋" w:hAnsi="仿宋" w:eastAsia="仿宋" w:cs="仿宋"/>
          <w:spacing w:val="-2"/>
          <w:sz w:val="28"/>
          <w:szCs w:val="28"/>
        </w:rPr>
        <w:t>（八）决定基金会的分立、合并或终止；</w:t>
      </w:r>
    </w:p>
    <w:p w14:paraId="5B71CD60">
      <w:pPr>
        <w:spacing w:line="292" w:lineRule="auto"/>
        <w:rPr>
          <w:rFonts w:ascii="Arial"/>
          <w:sz w:val="21"/>
        </w:rPr>
      </w:pPr>
    </w:p>
    <w:p w14:paraId="7C93CC16">
      <w:pPr>
        <w:spacing w:before="91" w:line="222" w:lineRule="auto"/>
        <w:ind w:left="513"/>
        <w:rPr>
          <w:rFonts w:ascii="仿宋" w:hAnsi="仿宋" w:eastAsia="仿宋" w:cs="仿宋"/>
          <w:sz w:val="28"/>
          <w:szCs w:val="28"/>
        </w:rPr>
      </w:pPr>
      <w:r>
        <w:rPr>
          <w:rFonts w:ascii="仿宋" w:hAnsi="仿宋" w:eastAsia="仿宋" w:cs="仿宋"/>
          <w:spacing w:val="-2"/>
          <w:sz w:val="28"/>
          <w:szCs w:val="28"/>
        </w:rPr>
        <w:t>（九）决定其他重大事项。</w:t>
      </w:r>
    </w:p>
    <w:p w14:paraId="779AB95D">
      <w:pPr>
        <w:spacing w:line="293" w:lineRule="auto"/>
        <w:rPr>
          <w:rFonts w:ascii="Arial"/>
          <w:sz w:val="21"/>
        </w:rPr>
      </w:pPr>
    </w:p>
    <w:p w14:paraId="164DBE75">
      <w:pPr>
        <w:spacing w:before="91" w:line="353" w:lineRule="auto"/>
        <w:ind w:left="40" w:right="91" w:firstLine="563"/>
        <w:rPr>
          <w:rFonts w:ascii="仿宋" w:hAnsi="仿宋" w:eastAsia="仿宋" w:cs="仿宋"/>
          <w:sz w:val="28"/>
          <w:szCs w:val="28"/>
        </w:rPr>
      </w:pPr>
      <w:r>
        <w:rPr>
          <w:rFonts w:ascii="仿宋" w:hAnsi="仿宋" w:eastAsia="仿宋" w:cs="仿宋"/>
          <w:b/>
          <w:bCs/>
          <w:spacing w:val="-3"/>
          <w:sz w:val="28"/>
          <w:szCs w:val="28"/>
        </w:rPr>
        <w:t>第十四条</w:t>
      </w:r>
      <w:r>
        <w:rPr>
          <w:rFonts w:ascii="仿宋" w:hAnsi="仿宋" w:eastAsia="仿宋" w:cs="仿宋"/>
          <w:spacing w:val="-3"/>
          <w:sz w:val="28"/>
          <w:szCs w:val="28"/>
        </w:rPr>
        <w:t xml:space="preserve"> 理事会每年召开至少</w:t>
      </w:r>
      <w:r>
        <w:rPr>
          <w:rFonts w:ascii="仿宋" w:hAnsi="仿宋" w:eastAsia="仿宋" w:cs="仿宋"/>
          <w:spacing w:val="-45"/>
          <w:sz w:val="28"/>
          <w:szCs w:val="28"/>
        </w:rPr>
        <w:t xml:space="preserve"> </w:t>
      </w:r>
      <w:r>
        <w:rPr>
          <w:rFonts w:ascii="仿宋" w:hAnsi="仿宋" w:eastAsia="仿宋" w:cs="仿宋"/>
          <w:spacing w:val="-3"/>
          <w:sz w:val="28"/>
          <w:szCs w:val="28"/>
        </w:rPr>
        <w:t>2</w:t>
      </w:r>
      <w:r>
        <w:rPr>
          <w:rFonts w:ascii="仿宋" w:hAnsi="仿宋" w:eastAsia="仿宋" w:cs="仿宋"/>
          <w:spacing w:val="-51"/>
          <w:sz w:val="28"/>
          <w:szCs w:val="28"/>
        </w:rPr>
        <w:t xml:space="preserve"> </w:t>
      </w:r>
      <w:r>
        <w:rPr>
          <w:rFonts w:ascii="仿宋" w:hAnsi="仿宋" w:eastAsia="仿宋" w:cs="仿宋"/>
          <w:spacing w:val="-3"/>
          <w:sz w:val="28"/>
          <w:szCs w:val="28"/>
        </w:rPr>
        <w:t>次会议，理事会会议由理事长</w:t>
      </w:r>
      <w:r>
        <w:rPr>
          <w:rFonts w:ascii="仿宋" w:hAnsi="仿宋" w:eastAsia="仿宋" w:cs="仿宋"/>
          <w:sz w:val="28"/>
          <w:szCs w:val="28"/>
        </w:rPr>
        <w:t xml:space="preserve"> </w:t>
      </w:r>
      <w:r>
        <w:rPr>
          <w:rFonts w:ascii="仿宋" w:hAnsi="仿宋" w:eastAsia="仿宋" w:cs="仿宋"/>
          <w:spacing w:val="-4"/>
          <w:sz w:val="28"/>
          <w:szCs w:val="28"/>
        </w:rPr>
        <w:t>负责召集和主持。</w:t>
      </w:r>
    </w:p>
    <w:p w14:paraId="607DEC02">
      <w:pPr>
        <w:spacing w:before="211" w:line="353" w:lineRule="auto"/>
        <w:ind w:left="31" w:right="48" w:firstLine="556"/>
        <w:rPr>
          <w:rFonts w:ascii="仿宋" w:hAnsi="仿宋" w:eastAsia="仿宋" w:cs="仿宋"/>
          <w:sz w:val="28"/>
          <w:szCs w:val="28"/>
        </w:rPr>
      </w:pPr>
      <w:r>
        <w:rPr>
          <w:rFonts w:ascii="仿宋" w:hAnsi="仿宋" w:eastAsia="仿宋" w:cs="仿宋"/>
          <w:spacing w:val="-6"/>
          <w:sz w:val="28"/>
          <w:szCs w:val="28"/>
        </w:rPr>
        <w:t>有</w:t>
      </w:r>
      <w:r>
        <w:rPr>
          <w:rFonts w:ascii="仿宋" w:hAnsi="仿宋" w:eastAsia="仿宋" w:cs="仿宋"/>
          <w:spacing w:val="-25"/>
          <w:sz w:val="28"/>
          <w:szCs w:val="28"/>
        </w:rPr>
        <w:t xml:space="preserve"> </w:t>
      </w:r>
      <w:r>
        <w:rPr>
          <w:rFonts w:ascii="仿宋" w:hAnsi="仿宋" w:eastAsia="仿宋" w:cs="仿宋"/>
          <w:spacing w:val="-6"/>
          <w:sz w:val="28"/>
          <w:szCs w:val="28"/>
        </w:rPr>
        <w:t>1/3</w:t>
      </w:r>
      <w:r>
        <w:rPr>
          <w:rFonts w:ascii="仿宋" w:hAnsi="仿宋" w:eastAsia="仿宋" w:cs="仿宋"/>
          <w:spacing w:val="-51"/>
          <w:sz w:val="28"/>
          <w:szCs w:val="28"/>
        </w:rPr>
        <w:t xml:space="preserve"> </w:t>
      </w:r>
      <w:r>
        <w:rPr>
          <w:rFonts w:ascii="仿宋" w:hAnsi="仿宋" w:eastAsia="仿宋" w:cs="仿宋"/>
          <w:spacing w:val="-6"/>
          <w:sz w:val="28"/>
          <w:szCs w:val="28"/>
        </w:rPr>
        <w:t>理事提议，必须召开理事会会议。如理事长不能召集，提</w:t>
      </w:r>
      <w:r>
        <w:rPr>
          <w:rFonts w:ascii="仿宋" w:hAnsi="仿宋" w:eastAsia="仿宋" w:cs="仿宋"/>
          <w:sz w:val="28"/>
          <w:szCs w:val="28"/>
        </w:rPr>
        <w:t xml:space="preserve"> </w:t>
      </w:r>
      <w:r>
        <w:rPr>
          <w:rFonts w:ascii="仿宋" w:hAnsi="仿宋" w:eastAsia="仿宋" w:cs="仿宋"/>
          <w:spacing w:val="-2"/>
          <w:sz w:val="28"/>
          <w:szCs w:val="28"/>
        </w:rPr>
        <w:t>议理事可推选召集人。</w:t>
      </w:r>
    </w:p>
    <w:p w14:paraId="51E0A7FA">
      <w:pPr>
        <w:spacing w:before="206" w:line="356" w:lineRule="auto"/>
        <w:ind w:left="32" w:right="48" w:firstLine="564"/>
        <w:rPr>
          <w:rFonts w:ascii="仿宋" w:hAnsi="仿宋" w:eastAsia="仿宋" w:cs="仿宋"/>
          <w:sz w:val="28"/>
          <w:szCs w:val="28"/>
        </w:rPr>
      </w:pPr>
      <w:r>
        <w:rPr>
          <w:rFonts w:ascii="仿宋" w:hAnsi="仿宋" w:eastAsia="仿宋" w:cs="仿宋"/>
          <w:spacing w:val="-7"/>
          <w:sz w:val="28"/>
          <w:szCs w:val="28"/>
        </w:rPr>
        <w:t>召开理事会会议，理事长或召集人需提前</w:t>
      </w:r>
      <w:r>
        <w:rPr>
          <w:rFonts w:ascii="仿宋" w:hAnsi="仿宋" w:eastAsia="仿宋" w:cs="仿宋"/>
          <w:spacing w:val="-55"/>
          <w:sz w:val="28"/>
          <w:szCs w:val="28"/>
        </w:rPr>
        <w:t xml:space="preserve"> </w:t>
      </w:r>
      <w:r>
        <w:rPr>
          <w:rFonts w:ascii="仿宋" w:hAnsi="仿宋" w:eastAsia="仿宋" w:cs="仿宋"/>
          <w:spacing w:val="-7"/>
          <w:sz w:val="28"/>
          <w:szCs w:val="28"/>
        </w:rPr>
        <w:t>5 日通知全体理事、监</w:t>
      </w:r>
      <w:r>
        <w:rPr>
          <w:rFonts w:ascii="仿宋" w:hAnsi="仿宋" w:eastAsia="仿宋" w:cs="仿宋"/>
          <w:sz w:val="28"/>
          <w:szCs w:val="28"/>
        </w:rPr>
        <w:t xml:space="preserve"> </w:t>
      </w:r>
      <w:r>
        <w:rPr>
          <w:rFonts w:ascii="仿宋" w:hAnsi="仿宋" w:eastAsia="仿宋" w:cs="仿宋"/>
          <w:spacing w:val="-9"/>
          <w:sz w:val="28"/>
          <w:szCs w:val="28"/>
        </w:rPr>
        <w:t>事。</w:t>
      </w:r>
    </w:p>
    <w:p w14:paraId="7112FD7F">
      <w:pPr>
        <w:spacing w:before="203" w:line="353" w:lineRule="auto"/>
        <w:ind w:left="33" w:right="91" w:firstLine="570"/>
        <w:rPr>
          <w:rFonts w:ascii="仿宋" w:hAnsi="仿宋" w:eastAsia="仿宋" w:cs="仿宋"/>
          <w:sz w:val="28"/>
          <w:szCs w:val="28"/>
        </w:rPr>
      </w:pPr>
      <w:r>
        <w:rPr>
          <w:rFonts w:ascii="仿宋" w:hAnsi="仿宋" w:eastAsia="仿宋" w:cs="仿宋"/>
          <w:b/>
          <w:bCs/>
          <w:spacing w:val="-1"/>
          <w:sz w:val="28"/>
          <w:szCs w:val="28"/>
        </w:rPr>
        <w:t>第十五条</w:t>
      </w:r>
      <w:r>
        <w:rPr>
          <w:rFonts w:ascii="仿宋" w:hAnsi="仿宋" w:eastAsia="仿宋" w:cs="仿宋"/>
          <w:spacing w:val="-1"/>
          <w:sz w:val="28"/>
          <w:szCs w:val="28"/>
        </w:rPr>
        <w:t xml:space="preserve"> 理事会会议须有2/3</w:t>
      </w:r>
      <w:r>
        <w:rPr>
          <w:rFonts w:ascii="仿宋" w:hAnsi="仿宋" w:eastAsia="仿宋" w:cs="仿宋"/>
          <w:spacing w:val="-11"/>
          <w:sz w:val="28"/>
          <w:szCs w:val="28"/>
        </w:rPr>
        <w:t xml:space="preserve"> </w:t>
      </w:r>
      <w:r>
        <w:rPr>
          <w:rFonts w:ascii="仿宋" w:hAnsi="仿宋" w:eastAsia="仿宋" w:cs="仿宋"/>
          <w:spacing w:val="-1"/>
          <w:sz w:val="28"/>
          <w:szCs w:val="28"/>
        </w:rPr>
        <w:t>以上理事出席方能召开；理事会</w:t>
      </w:r>
      <w:r>
        <w:rPr>
          <w:rFonts w:ascii="仿宋" w:hAnsi="仿宋" w:eastAsia="仿宋" w:cs="仿宋"/>
          <w:sz w:val="28"/>
          <w:szCs w:val="28"/>
        </w:rPr>
        <w:t xml:space="preserve"> </w:t>
      </w:r>
      <w:r>
        <w:rPr>
          <w:rFonts w:ascii="仿宋" w:hAnsi="仿宋" w:eastAsia="仿宋" w:cs="仿宋"/>
          <w:spacing w:val="-1"/>
          <w:sz w:val="28"/>
          <w:szCs w:val="28"/>
        </w:rPr>
        <w:t>决议须经出席理事过半数通过方为有效。</w:t>
      </w:r>
    </w:p>
    <w:p w14:paraId="5FA163BE">
      <w:pPr>
        <w:spacing w:before="210" w:line="354" w:lineRule="auto"/>
        <w:ind w:left="42" w:right="48" w:firstLine="554"/>
        <w:rPr>
          <w:rFonts w:ascii="仿宋" w:hAnsi="仿宋" w:eastAsia="仿宋" w:cs="仿宋"/>
          <w:sz w:val="28"/>
          <w:szCs w:val="28"/>
        </w:rPr>
      </w:pPr>
      <w:r>
        <w:rPr>
          <w:rFonts w:ascii="仿宋" w:hAnsi="仿宋" w:eastAsia="仿宋" w:cs="仿宋"/>
          <w:spacing w:val="-4"/>
          <w:sz w:val="28"/>
          <w:szCs w:val="28"/>
        </w:rPr>
        <w:t>下列重要事项的决议，须经出席理事表决，三分之</w:t>
      </w:r>
      <w:r>
        <w:rPr>
          <w:rFonts w:ascii="仿宋" w:hAnsi="仿宋" w:eastAsia="仿宋" w:cs="仿宋"/>
          <w:spacing w:val="-5"/>
          <w:sz w:val="28"/>
          <w:szCs w:val="28"/>
        </w:rPr>
        <w:t>二以上通过方</w:t>
      </w:r>
      <w:r>
        <w:rPr>
          <w:rFonts w:ascii="仿宋" w:hAnsi="仿宋" w:eastAsia="仿宋" w:cs="仿宋"/>
          <w:sz w:val="28"/>
          <w:szCs w:val="28"/>
        </w:rPr>
        <w:t xml:space="preserve"> </w:t>
      </w:r>
      <w:r>
        <w:rPr>
          <w:rFonts w:ascii="仿宋" w:hAnsi="仿宋" w:eastAsia="仿宋" w:cs="仿宋"/>
          <w:spacing w:val="-8"/>
          <w:sz w:val="28"/>
          <w:szCs w:val="28"/>
        </w:rPr>
        <w:t>为有效：</w:t>
      </w:r>
    </w:p>
    <w:p w14:paraId="3E7E90DA">
      <w:pPr>
        <w:spacing w:before="208" w:line="223" w:lineRule="auto"/>
        <w:ind w:left="513"/>
        <w:rPr>
          <w:rFonts w:ascii="仿宋" w:hAnsi="仿宋" w:eastAsia="仿宋" w:cs="仿宋"/>
          <w:sz w:val="28"/>
          <w:szCs w:val="28"/>
        </w:rPr>
      </w:pPr>
      <w:r>
        <w:rPr>
          <w:rFonts w:ascii="仿宋" w:hAnsi="仿宋" w:eastAsia="仿宋" w:cs="仿宋"/>
          <w:spacing w:val="-2"/>
          <w:sz w:val="28"/>
          <w:szCs w:val="28"/>
        </w:rPr>
        <w:t>（一）章程的修改；</w:t>
      </w:r>
    </w:p>
    <w:p w14:paraId="468B2A55">
      <w:pPr>
        <w:spacing w:line="289" w:lineRule="auto"/>
        <w:rPr>
          <w:rFonts w:ascii="Arial"/>
          <w:sz w:val="21"/>
        </w:rPr>
      </w:pPr>
    </w:p>
    <w:p w14:paraId="41BF320C">
      <w:pPr>
        <w:spacing w:before="91" w:line="223" w:lineRule="auto"/>
        <w:ind w:left="513"/>
        <w:rPr>
          <w:rFonts w:ascii="仿宋" w:hAnsi="仿宋" w:eastAsia="仿宋" w:cs="仿宋"/>
          <w:sz w:val="28"/>
          <w:szCs w:val="28"/>
        </w:rPr>
      </w:pPr>
      <w:r>
        <w:rPr>
          <w:rFonts w:ascii="仿宋" w:hAnsi="仿宋" w:eastAsia="仿宋" w:cs="仿宋"/>
          <w:spacing w:val="-1"/>
          <w:sz w:val="28"/>
          <w:szCs w:val="28"/>
        </w:rPr>
        <w:t>（二）选举或者罢免理事长、副理事长、秘书长；</w:t>
      </w:r>
    </w:p>
    <w:p w14:paraId="59B2EA86">
      <w:pPr>
        <w:spacing w:line="289" w:lineRule="auto"/>
        <w:rPr>
          <w:rFonts w:ascii="Arial"/>
          <w:sz w:val="21"/>
        </w:rPr>
      </w:pPr>
    </w:p>
    <w:p w14:paraId="464F0A51">
      <w:pPr>
        <w:spacing w:before="91" w:line="223" w:lineRule="auto"/>
        <w:ind w:left="513"/>
        <w:rPr>
          <w:rFonts w:ascii="仿宋" w:hAnsi="仿宋" w:eastAsia="仿宋" w:cs="仿宋"/>
          <w:sz w:val="28"/>
          <w:szCs w:val="28"/>
        </w:rPr>
      </w:pPr>
      <w:r>
        <w:rPr>
          <w:rFonts w:ascii="仿宋" w:hAnsi="仿宋" w:eastAsia="仿宋" w:cs="仿宋"/>
          <w:spacing w:val="-1"/>
          <w:sz w:val="28"/>
          <w:szCs w:val="28"/>
        </w:rPr>
        <w:t>（三）章程规定的重大定向捐赠、投资活动；</w:t>
      </w:r>
    </w:p>
    <w:p w14:paraId="467B5607">
      <w:pPr>
        <w:spacing w:line="291" w:lineRule="auto"/>
        <w:rPr>
          <w:rFonts w:ascii="Arial"/>
          <w:sz w:val="21"/>
        </w:rPr>
      </w:pPr>
    </w:p>
    <w:p w14:paraId="0BC0F614">
      <w:pPr>
        <w:spacing w:before="91" w:line="221" w:lineRule="auto"/>
        <w:ind w:left="513"/>
        <w:rPr>
          <w:rFonts w:ascii="仿宋" w:hAnsi="仿宋" w:eastAsia="仿宋" w:cs="仿宋"/>
          <w:sz w:val="28"/>
          <w:szCs w:val="28"/>
        </w:rPr>
      </w:pPr>
      <w:r>
        <w:rPr>
          <w:rFonts w:ascii="仿宋" w:hAnsi="仿宋" w:eastAsia="仿宋" w:cs="仿宋"/>
          <w:spacing w:val="-2"/>
          <w:sz w:val="28"/>
          <w:szCs w:val="28"/>
        </w:rPr>
        <w:t>（四）基金会的分立、合并。</w:t>
      </w:r>
    </w:p>
    <w:p w14:paraId="04B78F29">
      <w:pPr>
        <w:spacing w:line="293" w:lineRule="auto"/>
        <w:rPr>
          <w:rFonts w:ascii="Arial"/>
          <w:sz w:val="21"/>
        </w:rPr>
      </w:pPr>
    </w:p>
    <w:p w14:paraId="154A8B62">
      <w:pPr>
        <w:spacing w:before="91" w:line="354" w:lineRule="auto"/>
        <w:ind w:left="33" w:firstLine="570"/>
        <w:rPr>
          <w:rFonts w:ascii="仿宋" w:hAnsi="仿宋" w:eastAsia="仿宋" w:cs="仿宋"/>
          <w:sz w:val="28"/>
          <w:szCs w:val="28"/>
        </w:rPr>
      </w:pPr>
      <w:r>
        <w:rPr>
          <w:rFonts w:ascii="仿宋" w:hAnsi="仿宋" w:eastAsia="仿宋" w:cs="仿宋"/>
          <w:b/>
          <w:bCs/>
          <w:spacing w:val="-1"/>
          <w:sz w:val="28"/>
          <w:szCs w:val="28"/>
        </w:rPr>
        <w:t>第十六条</w:t>
      </w:r>
      <w:r>
        <w:rPr>
          <w:rFonts w:ascii="仿宋" w:hAnsi="仿宋" w:eastAsia="仿宋" w:cs="仿宋"/>
          <w:spacing w:val="-1"/>
          <w:sz w:val="28"/>
          <w:szCs w:val="28"/>
        </w:rPr>
        <w:t xml:space="preserve"> 理事会会议应当制作会议记录。</w:t>
      </w:r>
      <w:r>
        <w:rPr>
          <w:rFonts w:ascii="仿宋" w:hAnsi="仿宋" w:eastAsia="仿宋" w:cs="仿宋"/>
          <w:spacing w:val="-2"/>
          <w:sz w:val="28"/>
          <w:szCs w:val="28"/>
        </w:rPr>
        <w:t>形成决议的，应当当</w:t>
      </w:r>
      <w:r>
        <w:rPr>
          <w:rFonts w:ascii="仿宋" w:hAnsi="仿宋" w:eastAsia="仿宋" w:cs="仿宋"/>
          <w:sz w:val="28"/>
          <w:szCs w:val="28"/>
        </w:rPr>
        <w:t xml:space="preserve"> </w:t>
      </w:r>
      <w:r>
        <w:rPr>
          <w:rFonts w:ascii="仿宋" w:hAnsi="仿宋" w:eastAsia="仿宋" w:cs="仿宋"/>
          <w:spacing w:val="-2"/>
          <w:sz w:val="28"/>
          <w:szCs w:val="28"/>
        </w:rPr>
        <w:t>场制作会议纪要，并由出席理事审阅、签名。理事会决</w:t>
      </w:r>
      <w:r>
        <w:rPr>
          <w:rFonts w:ascii="仿宋" w:hAnsi="仿宋" w:eastAsia="仿宋" w:cs="仿宋"/>
          <w:spacing w:val="-3"/>
          <w:sz w:val="28"/>
          <w:szCs w:val="28"/>
        </w:rPr>
        <w:t>议违反法律、</w:t>
      </w:r>
    </w:p>
    <w:p w14:paraId="07E14336">
      <w:pPr>
        <w:spacing w:line="354" w:lineRule="auto"/>
        <w:rPr>
          <w:rFonts w:ascii="仿宋" w:hAnsi="仿宋" w:eastAsia="仿宋" w:cs="仿宋"/>
          <w:sz w:val="28"/>
          <w:szCs w:val="28"/>
        </w:rPr>
        <w:sectPr>
          <w:footerReference r:id="rId10" w:type="default"/>
          <w:pgSz w:w="11906" w:h="16839"/>
          <w:pgMar w:top="400" w:right="1751" w:bottom="1151" w:left="1785" w:header="0" w:footer="989" w:gutter="0"/>
          <w:pgNumType w:fmt="decimal"/>
          <w:cols w:space="720" w:num="1"/>
        </w:sectPr>
      </w:pPr>
    </w:p>
    <w:p w14:paraId="1F81F915">
      <w:pPr>
        <w:spacing w:line="286" w:lineRule="auto"/>
        <w:rPr>
          <w:rFonts w:ascii="Arial"/>
          <w:sz w:val="21"/>
        </w:rPr>
      </w:pPr>
    </w:p>
    <w:p w14:paraId="17F055EE">
      <w:pPr>
        <w:spacing w:line="287" w:lineRule="auto"/>
        <w:rPr>
          <w:rFonts w:ascii="Arial"/>
          <w:sz w:val="21"/>
        </w:rPr>
      </w:pPr>
    </w:p>
    <w:p w14:paraId="375A0E26">
      <w:pPr>
        <w:spacing w:line="287" w:lineRule="auto"/>
        <w:rPr>
          <w:rFonts w:ascii="Arial"/>
          <w:sz w:val="21"/>
        </w:rPr>
      </w:pPr>
    </w:p>
    <w:p w14:paraId="0458AD7B">
      <w:pPr>
        <w:spacing w:line="287" w:lineRule="auto"/>
        <w:rPr>
          <w:rFonts w:ascii="Arial"/>
          <w:sz w:val="21"/>
        </w:rPr>
      </w:pPr>
    </w:p>
    <w:p w14:paraId="58D98318">
      <w:pPr>
        <w:spacing w:before="91" w:line="354" w:lineRule="auto"/>
        <w:ind w:left="32" w:firstLine="8"/>
        <w:rPr>
          <w:rFonts w:ascii="仿宋" w:hAnsi="仿宋" w:eastAsia="仿宋" w:cs="仿宋"/>
          <w:sz w:val="28"/>
          <w:szCs w:val="28"/>
        </w:rPr>
      </w:pPr>
      <w:bookmarkStart w:id="13" w:name="bookmark17"/>
      <w:bookmarkEnd w:id="13"/>
      <w:r>
        <w:rPr>
          <w:rFonts w:ascii="仿宋" w:hAnsi="仿宋" w:eastAsia="仿宋" w:cs="仿宋"/>
          <w:spacing w:val="-4"/>
          <w:sz w:val="28"/>
          <w:szCs w:val="28"/>
        </w:rPr>
        <w:t>法规或章程规定，致使基金会遭受损失的，参与决议的理事应承</w:t>
      </w:r>
      <w:r>
        <w:rPr>
          <w:rFonts w:ascii="仿宋" w:hAnsi="仿宋" w:eastAsia="仿宋" w:cs="仿宋"/>
          <w:spacing w:val="-5"/>
          <w:sz w:val="28"/>
          <w:szCs w:val="28"/>
        </w:rPr>
        <w:t>担责</w:t>
      </w:r>
      <w:r>
        <w:rPr>
          <w:rFonts w:ascii="仿宋" w:hAnsi="仿宋" w:eastAsia="仿宋" w:cs="仿宋"/>
          <w:sz w:val="28"/>
          <w:szCs w:val="28"/>
        </w:rPr>
        <w:t xml:space="preserve"> </w:t>
      </w:r>
      <w:r>
        <w:rPr>
          <w:rFonts w:ascii="仿宋" w:hAnsi="仿宋" w:eastAsia="仿宋" w:cs="仿宋"/>
          <w:spacing w:val="-10"/>
          <w:sz w:val="28"/>
          <w:szCs w:val="28"/>
        </w:rPr>
        <w:t>任。但经证明在表决时反对并记载于会议记录的，该理事可免除责任。</w:t>
      </w:r>
    </w:p>
    <w:p w14:paraId="44635A18">
      <w:pPr>
        <w:spacing w:before="207" w:line="354" w:lineRule="auto"/>
        <w:ind w:left="33" w:right="142" w:firstLine="570"/>
        <w:rPr>
          <w:rFonts w:ascii="仿宋" w:hAnsi="仿宋" w:eastAsia="仿宋" w:cs="仿宋"/>
          <w:sz w:val="28"/>
          <w:szCs w:val="28"/>
        </w:rPr>
      </w:pPr>
      <w:r>
        <w:rPr>
          <w:rFonts w:ascii="仿宋" w:hAnsi="仿宋" w:eastAsia="仿宋" w:cs="仿宋"/>
          <w:b/>
          <w:bCs/>
          <w:spacing w:val="-3"/>
          <w:sz w:val="28"/>
          <w:szCs w:val="28"/>
        </w:rPr>
        <w:t>第十七条</w:t>
      </w:r>
      <w:r>
        <w:rPr>
          <w:rFonts w:ascii="仿宋" w:hAnsi="仿宋" w:eastAsia="仿宋" w:cs="仿宋"/>
          <w:spacing w:val="-3"/>
          <w:sz w:val="28"/>
          <w:szCs w:val="28"/>
        </w:rPr>
        <w:t xml:space="preserve"> 本基金会设监事</w:t>
      </w:r>
      <w:r>
        <w:rPr>
          <w:rFonts w:ascii="仿宋" w:hAnsi="仿宋" w:eastAsia="仿宋" w:cs="仿宋"/>
          <w:spacing w:val="-40"/>
          <w:sz w:val="28"/>
          <w:szCs w:val="28"/>
        </w:rPr>
        <w:t xml:space="preserve"> </w:t>
      </w:r>
      <w:r>
        <w:rPr>
          <w:rFonts w:ascii="仿宋" w:hAnsi="仿宋" w:eastAsia="仿宋" w:cs="仿宋"/>
          <w:spacing w:val="-3"/>
          <w:sz w:val="28"/>
          <w:szCs w:val="28"/>
        </w:rPr>
        <w:t>1</w:t>
      </w:r>
      <w:r>
        <w:rPr>
          <w:rFonts w:ascii="仿宋" w:hAnsi="仿宋" w:eastAsia="仿宋" w:cs="仿宋"/>
          <w:spacing w:val="-53"/>
          <w:sz w:val="28"/>
          <w:szCs w:val="28"/>
        </w:rPr>
        <w:t xml:space="preserve"> </w:t>
      </w:r>
      <w:r>
        <w:rPr>
          <w:rFonts w:ascii="仿宋" w:hAnsi="仿宋" w:eastAsia="仿宋" w:cs="仿宋"/>
          <w:spacing w:val="-3"/>
          <w:sz w:val="28"/>
          <w:szCs w:val="28"/>
        </w:rPr>
        <w:t>名，监事任期与理事任期相同，期</w:t>
      </w:r>
      <w:r>
        <w:rPr>
          <w:rFonts w:ascii="仿宋" w:hAnsi="仿宋" w:eastAsia="仿宋" w:cs="仿宋"/>
          <w:sz w:val="28"/>
          <w:szCs w:val="28"/>
        </w:rPr>
        <w:t xml:space="preserve"> </w:t>
      </w:r>
      <w:r>
        <w:rPr>
          <w:rFonts w:ascii="仿宋" w:hAnsi="仿宋" w:eastAsia="仿宋" w:cs="仿宋"/>
          <w:spacing w:val="-3"/>
          <w:sz w:val="28"/>
          <w:szCs w:val="28"/>
        </w:rPr>
        <w:t>满可以连任。</w:t>
      </w:r>
    </w:p>
    <w:p w14:paraId="3DFE7FE8">
      <w:pPr>
        <w:spacing w:before="207" w:line="460" w:lineRule="auto"/>
        <w:ind w:left="603" w:right="180"/>
        <w:rPr>
          <w:rFonts w:ascii="仿宋" w:hAnsi="仿宋" w:eastAsia="仿宋" w:cs="仿宋"/>
          <w:sz w:val="28"/>
          <w:szCs w:val="28"/>
        </w:rPr>
      </w:pPr>
      <w:r>
        <w:rPr>
          <w:rFonts w:ascii="仿宋" w:hAnsi="仿宋" w:eastAsia="仿宋" w:cs="仿宋"/>
          <w:b/>
          <w:bCs/>
          <w:spacing w:val="-3"/>
          <w:sz w:val="28"/>
          <w:szCs w:val="28"/>
        </w:rPr>
        <w:t>第十八条</w:t>
      </w:r>
      <w:r>
        <w:rPr>
          <w:rFonts w:ascii="仿宋" w:hAnsi="仿宋" w:eastAsia="仿宋" w:cs="仿宋"/>
          <w:spacing w:val="-3"/>
          <w:sz w:val="28"/>
          <w:szCs w:val="28"/>
        </w:rPr>
        <w:t xml:space="preserve"> 理事、理事的近亲属和基金会财会人员不得任监事。</w:t>
      </w:r>
      <w:r>
        <w:rPr>
          <w:rFonts w:ascii="仿宋" w:hAnsi="仿宋" w:eastAsia="仿宋" w:cs="仿宋"/>
          <w:spacing w:val="9"/>
          <w:sz w:val="28"/>
          <w:szCs w:val="28"/>
        </w:rPr>
        <w:t xml:space="preserve"> </w:t>
      </w:r>
      <w:r>
        <w:rPr>
          <w:rFonts w:ascii="仿宋" w:hAnsi="仿宋" w:eastAsia="仿宋" w:cs="仿宋"/>
          <w:b/>
          <w:bCs/>
          <w:spacing w:val="-3"/>
          <w:sz w:val="28"/>
          <w:szCs w:val="28"/>
        </w:rPr>
        <w:t>第十九条</w:t>
      </w:r>
      <w:r>
        <w:rPr>
          <w:rFonts w:ascii="仿宋" w:hAnsi="仿宋" w:eastAsia="仿宋" w:cs="仿宋"/>
          <w:spacing w:val="-3"/>
          <w:sz w:val="28"/>
          <w:szCs w:val="28"/>
        </w:rPr>
        <w:t xml:space="preserve"> 监事的产生和罢免：</w:t>
      </w:r>
    </w:p>
    <w:p w14:paraId="450C1C46">
      <w:pPr>
        <w:spacing w:before="46" w:line="222" w:lineRule="auto"/>
        <w:ind w:left="592"/>
        <w:rPr>
          <w:rFonts w:ascii="仿宋" w:hAnsi="仿宋" w:eastAsia="仿宋" w:cs="仿宋"/>
          <w:sz w:val="28"/>
          <w:szCs w:val="28"/>
        </w:rPr>
      </w:pPr>
      <w:r>
        <w:rPr>
          <w:rFonts w:ascii="仿宋" w:hAnsi="仿宋" w:eastAsia="仿宋" w:cs="仿宋"/>
          <w:spacing w:val="-1"/>
          <w:sz w:val="28"/>
          <w:szCs w:val="28"/>
        </w:rPr>
        <w:t>（一）监事由主要捐赠人、业务主管单位选派；</w:t>
      </w:r>
    </w:p>
    <w:p w14:paraId="7A57BD34">
      <w:pPr>
        <w:spacing w:line="290" w:lineRule="auto"/>
        <w:rPr>
          <w:rFonts w:ascii="Arial"/>
          <w:sz w:val="21"/>
        </w:rPr>
      </w:pPr>
    </w:p>
    <w:p w14:paraId="04FB4D3D">
      <w:pPr>
        <w:spacing w:before="92" w:line="460" w:lineRule="auto"/>
        <w:ind w:left="592" w:right="2870"/>
        <w:rPr>
          <w:rFonts w:ascii="仿宋" w:hAnsi="仿宋" w:eastAsia="仿宋" w:cs="仿宋"/>
          <w:sz w:val="28"/>
          <w:szCs w:val="28"/>
        </w:rPr>
      </w:pPr>
      <w:r>
        <w:rPr>
          <w:rFonts w:ascii="仿宋" w:hAnsi="仿宋" w:eastAsia="仿宋" w:cs="仿宋"/>
          <w:spacing w:val="-5"/>
          <w:sz w:val="28"/>
          <w:szCs w:val="28"/>
        </w:rPr>
        <w:t>（二）登记管理机关根据工作需要选派；</w:t>
      </w:r>
      <w:r>
        <w:rPr>
          <w:rFonts w:ascii="仿宋" w:hAnsi="仿宋" w:eastAsia="仿宋" w:cs="仿宋"/>
          <w:spacing w:val="8"/>
          <w:sz w:val="28"/>
          <w:szCs w:val="28"/>
        </w:rPr>
        <w:t xml:space="preserve"> </w:t>
      </w:r>
      <w:r>
        <w:rPr>
          <w:rFonts w:ascii="仿宋" w:hAnsi="仿宋" w:eastAsia="仿宋" w:cs="仿宋"/>
          <w:spacing w:val="-2"/>
          <w:sz w:val="28"/>
          <w:szCs w:val="28"/>
        </w:rPr>
        <w:t>（三）监事的变更依照其产生程序。</w:t>
      </w:r>
    </w:p>
    <w:p w14:paraId="30265702">
      <w:pPr>
        <w:spacing w:before="48" w:line="223" w:lineRule="auto"/>
        <w:ind w:left="603"/>
        <w:rPr>
          <w:rFonts w:ascii="仿宋" w:hAnsi="仿宋" w:eastAsia="仿宋" w:cs="仿宋"/>
          <w:sz w:val="28"/>
          <w:szCs w:val="28"/>
        </w:rPr>
      </w:pPr>
      <w:r>
        <w:rPr>
          <w:rFonts w:ascii="仿宋" w:hAnsi="仿宋" w:eastAsia="仿宋" w:cs="仿宋"/>
          <w:b/>
          <w:bCs/>
          <w:spacing w:val="-3"/>
          <w:sz w:val="28"/>
          <w:szCs w:val="28"/>
        </w:rPr>
        <w:t>第二十条</w:t>
      </w:r>
      <w:r>
        <w:rPr>
          <w:rFonts w:ascii="仿宋" w:hAnsi="仿宋" w:eastAsia="仿宋" w:cs="仿宋"/>
          <w:spacing w:val="-3"/>
          <w:sz w:val="28"/>
          <w:szCs w:val="28"/>
        </w:rPr>
        <w:t xml:space="preserve"> 监事的权利和义务：</w:t>
      </w:r>
    </w:p>
    <w:p w14:paraId="445BD979">
      <w:pPr>
        <w:spacing w:line="290" w:lineRule="auto"/>
        <w:rPr>
          <w:rFonts w:ascii="Arial"/>
          <w:sz w:val="21"/>
        </w:rPr>
      </w:pPr>
    </w:p>
    <w:p w14:paraId="232DA2EB">
      <w:pPr>
        <w:spacing w:before="91" w:line="355" w:lineRule="auto"/>
        <w:ind w:left="41" w:right="101" w:firstLine="558"/>
        <w:rPr>
          <w:rFonts w:ascii="仿宋" w:hAnsi="仿宋" w:eastAsia="仿宋" w:cs="仿宋"/>
          <w:sz w:val="28"/>
          <w:szCs w:val="28"/>
        </w:rPr>
      </w:pPr>
      <w:r>
        <w:rPr>
          <w:rFonts w:ascii="仿宋" w:hAnsi="仿宋" w:eastAsia="仿宋" w:cs="仿宋"/>
          <w:spacing w:val="-4"/>
          <w:sz w:val="28"/>
          <w:szCs w:val="28"/>
        </w:rPr>
        <w:t>监事依照章程规定的程序检查基金会财务和</w:t>
      </w:r>
      <w:r>
        <w:rPr>
          <w:rFonts w:ascii="仿宋" w:hAnsi="仿宋" w:eastAsia="仿宋" w:cs="仿宋"/>
          <w:spacing w:val="-5"/>
          <w:sz w:val="28"/>
          <w:szCs w:val="28"/>
        </w:rPr>
        <w:t>会计资料，监督理事</w:t>
      </w:r>
      <w:r>
        <w:rPr>
          <w:rFonts w:ascii="仿宋" w:hAnsi="仿宋" w:eastAsia="仿宋" w:cs="仿宋"/>
          <w:sz w:val="28"/>
          <w:szCs w:val="28"/>
        </w:rPr>
        <w:t xml:space="preserve"> </w:t>
      </w:r>
      <w:r>
        <w:rPr>
          <w:rFonts w:ascii="仿宋" w:hAnsi="仿宋" w:eastAsia="仿宋" w:cs="仿宋"/>
          <w:spacing w:val="-3"/>
          <w:sz w:val="28"/>
          <w:szCs w:val="28"/>
        </w:rPr>
        <w:t>会遵守法律和章程的情况。</w:t>
      </w:r>
    </w:p>
    <w:p w14:paraId="5F281CE7">
      <w:pPr>
        <w:spacing w:before="204" w:line="353" w:lineRule="auto"/>
        <w:ind w:left="38" w:right="101" w:firstLine="561"/>
        <w:rPr>
          <w:rFonts w:ascii="仿宋" w:hAnsi="仿宋" w:eastAsia="仿宋" w:cs="仿宋"/>
          <w:sz w:val="28"/>
          <w:szCs w:val="28"/>
        </w:rPr>
      </w:pPr>
      <w:r>
        <w:rPr>
          <w:rFonts w:ascii="仿宋" w:hAnsi="仿宋" w:eastAsia="仿宋" w:cs="仿宋"/>
          <w:spacing w:val="-4"/>
          <w:sz w:val="28"/>
          <w:szCs w:val="28"/>
        </w:rPr>
        <w:t>监事列席理事会会议，有权向理事会提出质</w:t>
      </w:r>
      <w:r>
        <w:rPr>
          <w:rFonts w:ascii="仿宋" w:hAnsi="仿宋" w:eastAsia="仿宋" w:cs="仿宋"/>
          <w:spacing w:val="-5"/>
          <w:sz w:val="28"/>
          <w:szCs w:val="28"/>
        </w:rPr>
        <w:t>询和建议，并应当向</w:t>
      </w:r>
      <w:r>
        <w:rPr>
          <w:rFonts w:ascii="仿宋" w:hAnsi="仿宋" w:eastAsia="仿宋" w:cs="仿宋"/>
          <w:sz w:val="28"/>
          <w:szCs w:val="28"/>
        </w:rPr>
        <w:t xml:space="preserve"> </w:t>
      </w:r>
      <w:r>
        <w:rPr>
          <w:rFonts w:ascii="仿宋" w:hAnsi="仿宋" w:eastAsia="仿宋" w:cs="仿宋"/>
          <w:spacing w:val="-1"/>
          <w:sz w:val="28"/>
          <w:szCs w:val="28"/>
        </w:rPr>
        <w:t>登记管理机关、业务主管单位以及税务、会计主管部门反映情况。</w:t>
      </w:r>
    </w:p>
    <w:p w14:paraId="32401743">
      <w:pPr>
        <w:spacing w:before="210" w:line="222" w:lineRule="auto"/>
        <w:ind w:left="599"/>
        <w:rPr>
          <w:rFonts w:ascii="仿宋" w:hAnsi="仿宋" w:eastAsia="仿宋" w:cs="仿宋"/>
          <w:sz w:val="28"/>
          <w:szCs w:val="28"/>
        </w:rPr>
      </w:pPr>
      <w:r>
        <w:rPr>
          <w:rFonts w:ascii="仿宋" w:hAnsi="仿宋" w:eastAsia="仿宋" w:cs="仿宋"/>
          <w:spacing w:val="-1"/>
          <w:sz w:val="28"/>
          <w:szCs w:val="28"/>
        </w:rPr>
        <w:t>监事应当遵守有关法律法规和基金会章程，忠实履行职责。</w:t>
      </w:r>
    </w:p>
    <w:p w14:paraId="5571ACD2">
      <w:pPr>
        <w:spacing w:line="292" w:lineRule="auto"/>
        <w:rPr>
          <w:rFonts w:ascii="Arial"/>
          <w:sz w:val="21"/>
        </w:rPr>
      </w:pPr>
    </w:p>
    <w:p w14:paraId="020438F0">
      <w:pPr>
        <w:spacing w:before="91" w:line="352" w:lineRule="auto"/>
        <w:ind w:left="44" w:firstLine="559"/>
        <w:rPr>
          <w:rFonts w:ascii="仿宋" w:hAnsi="仿宋" w:eastAsia="仿宋" w:cs="仿宋"/>
          <w:sz w:val="28"/>
          <w:szCs w:val="28"/>
        </w:rPr>
      </w:pPr>
      <w:r>
        <w:rPr>
          <w:rFonts w:ascii="仿宋" w:hAnsi="仿宋" w:eastAsia="仿宋" w:cs="仿宋"/>
          <w:b/>
          <w:bCs/>
          <w:spacing w:val="-2"/>
          <w:sz w:val="28"/>
          <w:szCs w:val="28"/>
        </w:rPr>
        <w:t>第二十一条</w:t>
      </w:r>
      <w:r>
        <w:rPr>
          <w:rFonts w:ascii="仿宋" w:hAnsi="仿宋" w:eastAsia="仿宋" w:cs="仿宋"/>
          <w:spacing w:val="-2"/>
          <w:sz w:val="28"/>
          <w:szCs w:val="28"/>
        </w:rPr>
        <w:t xml:space="preserve"> 在本基金会领取报酬的理事不得超过理事总人数的</w:t>
      </w:r>
      <w:r>
        <w:rPr>
          <w:rFonts w:ascii="仿宋" w:hAnsi="仿宋" w:eastAsia="仿宋" w:cs="仿宋"/>
          <w:spacing w:val="8"/>
          <w:sz w:val="28"/>
          <w:szCs w:val="28"/>
        </w:rPr>
        <w:t xml:space="preserve">  </w:t>
      </w:r>
      <w:r>
        <w:rPr>
          <w:rFonts w:ascii="仿宋" w:hAnsi="仿宋" w:eastAsia="仿宋" w:cs="仿宋"/>
          <w:spacing w:val="-5"/>
          <w:sz w:val="28"/>
          <w:szCs w:val="28"/>
        </w:rPr>
        <w:t>1/3。监事和未在基金会担任专职工作的理事不得从基金会获</w:t>
      </w:r>
      <w:r>
        <w:rPr>
          <w:rFonts w:ascii="仿宋" w:hAnsi="仿宋" w:eastAsia="仿宋" w:cs="仿宋"/>
          <w:spacing w:val="-6"/>
          <w:sz w:val="28"/>
          <w:szCs w:val="28"/>
        </w:rPr>
        <w:t>取报酬。</w:t>
      </w:r>
    </w:p>
    <w:p w14:paraId="025005EC">
      <w:pPr>
        <w:spacing w:before="213" w:line="359" w:lineRule="auto"/>
        <w:ind w:left="39" w:right="101" w:firstLine="564"/>
        <w:rPr>
          <w:rFonts w:ascii="仿宋" w:hAnsi="仿宋" w:eastAsia="仿宋" w:cs="仿宋"/>
          <w:sz w:val="28"/>
          <w:szCs w:val="28"/>
        </w:rPr>
      </w:pPr>
      <w:r>
        <w:rPr>
          <w:rFonts w:ascii="仿宋" w:hAnsi="仿宋" w:eastAsia="仿宋" w:cs="仿宋"/>
          <w:b/>
          <w:bCs/>
          <w:sz w:val="28"/>
          <w:szCs w:val="28"/>
        </w:rPr>
        <w:t>第二十二条</w:t>
      </w:r>
      <w:r>
        <w:rPr>
          <w:rFonts w:ascii="仿宋" w:hAnsi="仿宋" w:eastAsia="仿宋" w:cs="仿宋"/>
          <w:sz w:val="28"/>
          <w:szCs w:val="28"/>
        </w:rPr>
        <w:t xml:space="preserve"> 本基金会理事遇有个人利益与基金会利益关</w:t>
      </w:r>
      <w:r>
        <w:rPr>
          <w:rFonts w:ascii="仿宋" w:hAnsi="仿宋" w:eastAsia="仿宋" w:cs="仿宋"/>
          <w:spacing w:val="-1"/>
          <w:sz w:val="28"/>
          <w:szCs w:val="28"/>
        </w:rPr>
        <w:t>联时，</w:t>
      </w:r>
      <w:r>
        <w:rPr>
          <w:rFonts w:ascii="仿宋" w:hAnsi="仿宋" w:eastAsia="仿宋" w:cs="仿宋"/>
          <w:sz w:val="28"/>
          <w:szCs w:val="28"/>
        </w:rPr>
        <w:t xml:space="preserve"> </w:t>
      </w:r>
      <w:r>
        <w:rPr>
          <w:rFonts w:ascii="仿宋" w:hAnsi="仿宋" w:eastAsia="仿宋" w:cs="仿宋"/>
          <w:spacing w:val="-4"/>
          <w:sz w:val="28"/>
          <w:szCs w:val="28"/>
        </w:rPr>
        <w:t>不得参与相关事宜的决策；基金会理事、监事及其近亲属不得与基金</w:t>
      </w:r>
      <w:r>
        <w:rPr>
          <w:rFonts w:ascii="仿宋" w:hAnsi="仿宋" w:eastAsia="仿宋" w:cs="仿宋"/>
          <w:sz w:val="28"/>
          <w:szCs w:val="28"/>
        </w:rPr>
        <w:t xml:space="preserve"> </w:t>
      </w:r>
      <w:r>
        <w:rPr>
          <w:rFonts w:ascii="仿宋" w:hAnsi="仿宋" w:eastAsia="仿宋" w:cs="仿宋"/>
          <w:spacing w:val="-3"/>
          <w:sz w:val="28"/>
          <w:szCs w:val="28"/>
        </w:rPr>
        <w:t>会有任何交易行为。</w:t>
      </w:r>
    </w:p>
    <w:p w14:paraId="50211C80">
      <w:pPr>
        <w:spacing w:line="359" w:lineRule="auto"/>
        <w:rPr>
          <w:rFonts w:ascii="仿宋" w:hAnsi="仿宋" w:eastAsia="仿宋" w:cs="仿宋"/>
          <w:sz w:val="28"/>
          <w:szCs w:val="28"/>
        </w:rPr>
        <w:sectPr>
          <w:footerReference r:id="rId11" w:type="default"/>
          <w:pgSz w:w="11906" w:h="16839"/>
          <w:pgMar w:top="400" w:right="1698" w:bottom="1149" w:left="1785" w:header="0" w:footer="989" w:gutter="0"/>
          <w:pgNumType w:fmt="decimal"/>
          <w:cols w:space="720" w:num="1"/>
        </w:sectPr>
      </w:pPr>
    </w:p>
    <w:p w14:paraId="2B238E43">
      <w:pPr>
        <w:spacing w:line="287" w:lineRule="auto"/>
        <w:rPr>
          <w:rFonts w:ascii="Arial"/>
          <w:sz w:val="21"/>
        </w:rPr>
      </w:pPr>
    </w:p>
    <w:p w14:paraId="2F148859">
      <w:pPr>
        <w:spacing w:line="287" w:lineRule="auto"/>
        <w:rPr>
          <w:rFonts w:ascii="Arial"/>
          <w:sz w:val="21"/>
        </w:rPr>
      </w:pPr>
    </w:p>
    <w:p w14:paraId="7B8AE8EA">
      <w:pPr>
        <w:spacing w:line="287" w:lineRule="auto"/>
        <w:rPr>
          <w:rFonts w:ascii="Arial"/>
          <w:sz w:val="21"/>
        </w:rPr>
      </w:pPr>
    </w:p>
    <w:p w14:paraId="32BB70EE">
      <w:pPr>
        <w:spacing w:line="288" w:lineRule="auto"/>
        <w:rPr>
          <w:rFonts w:ascii="Arial"/>
          <w:sz w:val="21"/>
        </w:rPr>
      </w:pPr>
    </w:p>
    <w:p w14:paraId="5CD7059E">
      <w:pPr>
        <w:spacing w:before="91" w:line="355" w:lineRule="auto"/>
        <w:ind w:left="33" w:right="121" w:firstLine="570"/>
        <w:rPr>
          <w:rFonts w:ascii="仿宋" w:hAnsi="仿宋" w:eastAsia="仿宋" w:cs="仿宋"/>
          <w:sz w:val="28"/>
          <w:szCs w:val="28"/>
        </w:rPr>
      </w:pPr>
      <w:r>
        <w:rPr>
          <w:rFonts w:ascii="仿宋" w:hAnsi="仿宋" w:eastAsia="仿宋" w:cs="仿宋"/>
          <w:b/>
          <w:bCs/>
          <w:spacing w:val="-2"/>
          <w:sz w:val="28"/>
          <w:szCs w:val="28"/>
        </w:rPr>
        <w:t>第二十三条</w:t>
      </w:r>
      <w:r>
        <w:rPr>
          <w:rFonts w:ascii="仿宋" w:hAnsi="仿宋" w:eastAsia="仿宋" w:cs="仿宋"/>
          <w:spacing w:val="-2"/>
          <w:sz w:val="28"/>
          <w:szCs w:val="28"/>
        </w:rPr>
        <w:t xml:space="preserve"> 理事会设理事长、副理事长和秘书长，从理事中选</w:t>
      </w:r>
      <w:r>
        <w:rPr>
          <w:rFonts w:ascii="仿宋" w:hAnsi="仿宋" w:eastAsia="仿宋" w:cs="仿宋"/>
          <w:spacing w:val="16"/>
          <w:sz w:val="28"/>
          <w:szCs w:val="28"/>
        </w:rPr>
        <w:t xml:space="preserve"> </w:t>
      </w:r>
      <w:r>
        <w:rPr>
          <w:rFonts w:ascii="仿宋" w:hAnsi="仿宋" w:eastAsia="仿宋" w:cs="仿宋"/>
          <w:spacing w:val="-5"/>
          <w:sz w:val="28"/>
          <w:szCs w:val="28"/>
        </w:rPr>
        <w:t>举产生。</w:t>
      </w:r>
    </w:p>
    <w:p w14:paraId="4437D0FA">
      <w:pPr>
        <w:spacing w:before="202" w:line="354" w:lineRule="auto"/>
        <w:ind w:left="36" w:right="121" w:firstLine="567"/>
        <w:rPr>
          <w:rFonts w:ascii="仿宋" w:hAnsi="仿宋" w:eastAsia="仿宋" w:cs="仿宋"/>
          <w:sz w:val="28"/>
          <w:szCs w:val="28"/>
        </w:rPr>
      </w:pPr>
      <w:r>
        <w:rPr>
          <w:rFonts w:ascii="仿宋" w:hAnsi="仿宋" w:eastAsia="仿宋" w:cs="仿宋"/>
          <w:b/>
          <w:bCs/>
          <w:spacing w:val="-2"/>
          <w:sz w:val="28"/>
          <w:szCs w:val="28"/>
        </w:rPr>
        <w:t>第二十四条</w:t>
      </w:r>
      <w:r>
        <w:rPr>
          <w:rFonts w:ascii="仿宋" w:hAnsi="仿宋" w:eastAsia="仿宋" w:cs="仿宋"/>
          <w:spacing w:val="-2"/>
          <w:sz w:val="28"/>
          <w:szCs w:val="28"/>
        </w:rPr>
        <w:t xml:space="preserve"> 本基金会理事长、副理事长、秘书长必须符合以下</w:t>
      </w:r>
      <w:r>
        <w:rPr>
          <w:rFonts w:ascii="仿宋" w:hAnsi="仿宋" w:eastAsia="仿宋" w:cs="仿宋"/>
          <w:spacing w:val="16"/>
          <w:sz w:val="28"/>
          <w:szCs w:val="28"/>
        </w:rPr>
        <w:t xml:space="preserve"> </w:t>
      </w:r>
      <w:r>
        <w:rPr>
          <w:rFonts w:ascii="仿宋" w:hAnsi="仿宋" w:eastAsia="仿宋" w:cs="仿宋"/>
          <w:spacing w:val="-7"/>
          <w:sz w:val="28"/>
          <w:szCs w:val="28"/>
        </w:rPr>
        <w:t>条件：</w:t>
      </w:r>
    </w:p>
    <w:p w14:paraId="62441D16">
      <w:pPr>
        <w:spacing w:before="208" w:line="220" w:lineRule="auto"/>
        <w:ind w:left="592"/>
        <w:rPr>
          <w:rFonts w:ascii="仿宋" w:hAnsi="仿宋" w:eastAsia="仿宋" w:cs="仿宋"/>
          <w:sz w:val="28"/>
          <w:szCs w:val="28"/>
        </w:rPr>
      </w:pPr>
      <w:r>
        <w:rPr>
          <w:rFonts w:ascii="仿宋" w:hAnsi="仿宋" w:eastAsia="仿宋" w:cs="仿宋"/>
          <w:spacing w:val="-1"/>
          <w:sz w:val="28"/>
          <w:szCs w:val="28"/>
        </w:rPr>
        <w:t>（一）在本基金会业务领域内有较大影响；</w:t>
      </w:r>
    </w:p>
    <w:p w14:paraId="27DF60F6">
      <w:pPr>
        <w:spacing w:line="292" w:lineRule="auto"/>
        <w:rPr>
          <w:rFonts w:ascii="Arial"/>
          <w:sz w:val="21"/>
        </w:rPr>
      </w:pPr>
    </w:p>
    <w:p w14:paraId="7F2632BF">
      <w:pPr>
        <w:spacing w:before="91" w:line="296" w:lineRule="auto"/>
        <w:ind w:left="32" w:firstLine="559"/>
        <w:rPr>
          <w:rFonts w:ascii="仿宋" w:hAnsi="仿宋" w:eastAsia="仿宋" w:cs="仿宋"/>
          <w:sz w:val="28"/>
          <w:szCs w:val="28"/>
        </w:rPr>
      </w:pPr>
      <w:r>
        <w:rPr>
          <w:rFonts w:ascii="仿宋" w:hAnsi="仿宋" w:eastAsia="仿宋" w:cs="仿宋"/>
          <w:spacing w:val="-7"/>
          <w:sz w:val="28"/>
          <w:szCs w:val="28"/>
        </w:rPr>
        <w:t>（二）理事长、副理事长、秘书长最高任职年龄不超过</w:t>
      </w:r>
      <w:r>
        <w:rPr>
          <w:rFonts w:ascii="仿宋" w:hAnsi="仿宋" w:eastAsia="仿宋" w:cs="仿宋"/>
          <w:spacing w:val="-54"/>
          <w:sz w:val="28"/>
          <w:szCs w:val="28"/>
        </w:rPr>
        <w:t xml:space="preserve"> </w:t>
      </w:r>
      <w:r>
        <w:rPr>
          <w:rFonts w:ascii="仿宋" w:hAnsi="仿宋" w:eastAsia="仿宋" w:cs="仿宋"/>
          <w:spacing w:val="-8"/>
          <w:sz w:val="28"/>
          <w:szCs w:val="28"/>
        </w:rPr>
        <w:t>70</w:t>
      </w:r>
      <w:r>
        <w:rPr>
          <w:rFonts w:ascii="仿宋" w:hAnsi="仿宋" w:eastAsia="仿宋" w:cs="仿宋"/>
          <w:spacing w:val="-51"/>
          <w:sz w:val="28"/>
          <w:szCs w:val="28"/>
        </w:rPr>
        <w:t xml:space="preserve"> </w:t>
      </w:r>
      <w:r>
        <w:rPr>
          <w:rFonts w:ascii="仿宋" w:hAnsi="仿宋" w:eastAsia="仿宋" w:cs="仿宋"/>
          <w:spacing w:val="-8"/>
          <w:sz w:val="28"/>
          <w:szCs w:val="28"/>
        </w:rPr>
        <w:t>周岁，</w:t>
      </w:r>
      <w:r>
        <w:rPr>
          <w:rFonts w:ascii="仿宋" w:hAnsi="仿宋" w:eastAsia="仿宋" w:cs="仿宋"/>
          <w:sz w:val="28"/>
          <w:szCs w:val="28"/>
        </w:rPr>
        <w:t xml:space="preserve"> </w:t>
      </w:r>
      <w:r>
        <w:rPr>
          <w:rFonts w:ascii="仿宋" w:hAnsi="仿宋" w:eastAsia="仿宋" w:cs="仿宋"/>
          <w:spacing w:val="-3"/>
          <w:sz w:val="28"/>
          <w:szCs w:val="28"/>
        </w:rPr>
        <w:t>秘书长为专职；</w:t>
      </w:r>
    </w:p>
    <w:p w14:paraId="72B7BB9B">
      <w:pPr>
        <w:spacing w:line="291" w:lineRule="auto"/>
        <w:rPr>
          <w:rFonts w:ascii="Arial"/>
          <w:sz w:val="21"/>
        </w:rPr>
      </w:pPr>
    </w:p>
    <w:p w14:paraId="0D2A62D0">
      <w:pPr>
        <w:spacing w:before="91" w:line="221" w:lineRule="auto"/>
        <w:ind w:left="592"/>
        <w:rPr>
          <w:rFonts w:ascii="仿宋" w:hAnsi="仿宋" w:eastAsia="仿宋" w:cs="仿宋"/>
          <w:sz w:val="28"/>
          <w:szCs w:val="28"/>
        </w:rPr>
      </w:pPr>
      <w:r>
        <w:rPr>
          <w:rFonts w:ascii="仿宋" w:hAnsi="仿宋" w:eastAsia="仿宋" w:cs="仿宋"/>
          <w:spacing w:val="-2"/>
          <w:sz w:val="28"/>
          <w:szCs w:val="28"/>
        </w:rPr>
        <w:t>（三）身体健康，能坚持正常工作；</w:t>
      </w:r>
    </w:p>
    <w:p w14:paraId="72AEA7BA">
      <w:pPr>
        <w:spacing w:line="291" w:lineRule="auto"/>
        <w:rPr>
          <w:rFonts w:ascii="Arial"/>
          <w:sz w:val="21"/>
        </w:rPr>
      </w:pPr>
    </w:p>
    <w:p w14:paraId="45730160">
      <w:pPr>
        <w:spacing w:before="92" w:line="222" w:lineRule="auto"/>
        <w:ind w:left="592"/>
        <w:rPr>
          <w:rFonts w:ascii="仿宋" w:hAnsi="仿宋" w:eastAsia="仿宋" w:cs="仿宋"/>
          <w:sz w:val="28"/>
          <w:szCs w:val="28"/>
        </w:rPr>
      </w:pPr>
      <w:r>
        <w:rPr>
          <w:rFonts w:ascii="仿宋" w:hAnsi="仿宋" w:eastAsia="仿宋" w:cs="仿宋"/>
          <w:spacing w:val="-2"/>
          <w:sz w:val="28"/>
          <w:szCs w:val="28"/>
        </w:rPr>
        <w:t>（四）具有完全民事行为能力。</w:t>
      </w:r>
    </w:p>
    <w:p w14:paraId="6B06D9EE">
      <w:pPr>
        <w:spacing w:line="294" w:lineRule="auto"/>
        <w:rPr>
          <w:rFonts w:ascii="Arial"/>
          <w:sz w:val="21"/>
        </w:rPr>
      </w:pPr>
    </w:p>
    <w:p w14:paraId="1A1D9C69">
      <w:pPr>
        <w:spacing w:before="91" w:line="354" w:lineRule="auto"/>
        <w:ind w:left="32" w:right="121" w:firstLine="571"/>
        <w:rPr>
          <w:rFonts w:ascii="仿宋" w:hAnsi="仿宋" w:eastAsia="仿宋" w:cs="仿宋"/>
          <w:sz w:val="28"/>
          <w:szCs w:val="28"/>
        </w:rPr>
      </w:pPr>
      <w:r>
        <w:rPr>
          <w:rFonts w:ascii="仿宋" w:hAnsi="仿宋" w:eastAsia="仿宋" w:cs="仿宋"/>
          <w:b/>
          <w:bCs/>
          <w:spacing w:val="-2"/>
          <w:sz w:val="28"/>
          <w:szCs w:val="28"/>
        </w:rPr>
        <w:t>第二十五条</w:t>
      </w:r>
      <w:r>
        <w:rPr>
          <w:rFonts w:ascii="仿宋" w:hAnsi="仿宋" w:eastAsia="仿宋" w:cs="仿宋"/>
          <w:spacing w:val="-2"/>
          <w:sz w:val="28"/>
          <w:szCs w:val="28"/>
        </w:rPr>
        <w:t xml:space="preserve"> 有下列情形之一的人员，不能担任本基金会的理事</w:t>
      </w:r>
      <w:r>
        <w:rPr>
          <w:rFonts w:ascii="仿宋" w:hAnsi="仿宋" w:eastAsia="仿宋" w:cs="仿宋"/>
          <w:spacing w:val="16"/>
          <w:sz w:val="28"/>
          <w:szCs w:val="28"/>
        </w:rPr>
        <w:t xml:space="preserve"> </w:t>
      </w:r>
      <w:r>
        <w:rPr>
          <w:rFonts w:ascii="仿宋" w:hAnsi="仿宋" w:eastAsia="仿宋" w:cs="仿宋"/>
          <w:spacing w:val="-2"/>
          <w:sz w:val="28"/>
          <w:szCs w:val="28"/>
        </w:rPr>
        <w:t>长、副理事长、秘书长：</w:t>
      </w:r>
    </w:p>
    <w:p w14:paraId="630ABC83">
      <w:pPr>
        <w:spacing w:before="205" w:line="221" w:lineRule="auto"/>
        <w:ind w:left="592"/>
        <w:rPr>
          <w:rFonts w:ascii="仿宋" w:hAnsi="仿宋" w:eastAsia="仿宋" w:cs="仿宋"/>
          <w:sz w:val="28"/>
          <w:szCs w:val="28"/>
        </w:rPr>
      </w:pPr>
      <w:r>
        <w:rPr>
          <w:rFonts w:ascii="仿宋" w:hAnsi="仿宋" w:eastAsia="仿宋" w:cs="仿宋"/>
          <w:spacing w:val="-2"/>
          <w:sz w:val="28"/>
          <w:szCs w:val="28"/>
        </w:rPr>
        <w:t>（一）属于现职国家工作人员的；</w:t>
      </w:r>
    </w:p>
    <w:p w14:paraId="57D4A5D5">
      <w:pPr>
        <w:spacing w:line="294" w:lineRule="auto"/>
        <w:rPr>
          <w:rFonts w:ascii="Arial"/>
          <w:sz w:val="21"/>
        </w:rPr>
      </w:pPr>
    </w:p>
    <w:p w14:paraId="0DB07C20">
      <w:pPr>
        <w:spacing w:before="91" w:line="296" w:lineRule="auto"/>
        <w:ind w:left="91" w:right="80" w:firstLine="500"/>
        <w:rPr>
          <w:rFonts w:ascii="仿宋" w:hAnsi="仿宋" w:eastAsia="仿宋" w:cs="仿宋"/>
          <w:sz w:val="28"/>
          <w:szCs w:val="28"/>
        </w:rPr>
      </w:pPr>
      <w:r>
        <w:rPr>
          <w:rFonts w:ascii="仿宋" w:hAnsi="仿宋" w:eastAsia="仿宋" w:cs="仿宋"/>
          <w:spacing w:val="-4"/>
          <w:sz w:val="28"/>
          <w:szCs w:val="28"/>
        </w:rPr>
        <w:t>（二）因犯罪被判处管制、拘役或者有期徒刑，刑期执行完毕之</w:t>
      </w:r>
      <w:r>
        <w:rPr>
          <w:rFonts w:ascii="仿宋" w:hAnsi="仿宋" w:eastAsia="仿宋" w:cs="仿宋"/>
          <w:sz w:val="28"/>
          <w:szCs w:val="28"/>
        </w:rPr>
        <w:t xml:space="preserve"> </w:t>
      </w:r>
      <w:r>
        <w:rPr>
          <w:rFonts w:ascii="仿宋" w:hAnsi="仿宋" w:eastAsia="仿宋" w:cs="仿宋"/>
          <w:spacing w:val="-15"/>
          <w:sz w:val="28"/>
          <w:szCs w:val="28"/>
        </w:rPr>
        <w:t>日起未逾</w:t>
      </w:r>
      <w:r>
        <w:rPr>
          <w:rFonts w:ascii="仿宋" w:hAnsi="仿宋" w:eastAsia="仿宋" w:cs="仿宋"/>
          <w:spacing w:val="-51"/>
          <w:sz w:val="28"/>
          <w:szCs w:val="28"/>
        </w:rPr>
        <w:t xml:space="preserve"> </w:t>
      </w:r>
      <w:r>
        <w:rPr>
          <w:rFonts w:ascii="仿宋" w:hAnsi="仿宋" w:eastAsia="仿宋" w:cs="仿宋"/>
          <w:spacing w:val="-15"/>
          <w:sz w:val="28"/>
          <w:szCs w:val="28"/>
        </w:rPr>
        <w:t>5</w:t>
      </w:r>
      <w:r>
        <w:rPr>
          <w:rFonts w:ascii="仿宋" w:hAnsi="仿宋" w:eastAsia="仿宋" w:cs="仿宋"/>
          <w:spacing w:val="-47"/>
          <w:sz w:val="28"/>
          <w:szCs w:val="28"/>
        </w:rPr>
        <w:t xml:space="preserve"> </w:t>
      </w:r>
      <w:r>
        <w:rPr>
          <w:rFonts w:ascii="仿宋" w:hAnsi="仿宋" w:eastAsia="仿宋" w:cs="仿宋"/>
          <w:spacing w:val="-15"/>
          <w:sz w:val="28"/>
          <w:szCs w:val="28"/>
        </w:rPr>
        <w:t>年的；</w:t>
      </w:r>
    </w:p>
    <w:p w14:paraId="00A112A6">
      <w:pPr>
        <w:spacing w:line="290" w:lineRule="auto"/>
        <w:rPr>
          <w:rFonts w:ascii="Arial"/>
          <w:sz w:val="21"/>
        </w:rPr>
      </w:pPr>
    </w:p>
    <w:p w14:paraId="46DC3E56">
      <w:pPr>
        <w:spacing w:before="92" w:line="296" w:lineRule="auto"/>
        <w:ind w:left="33" w:right="267" w:firstLine="558"/>
        <w:rPr>
          <w:rFonts w:ascii="仿宋" w:hAnsi="仿宋" w:eastAsia="仿宋" w:cs="仿宋"/>
          <w:sz w:val="28"/>
          <w:szCs w:val="28"/>
        </w:rPr>
      </w:pPr>
      <w:r>
        <w:rPr>
          <w:rFonts w:ascii="仿宋" w:hAnsi="仿宋" w:eastAsia="仿宋" w:cs="仿宋"/>
          <w:spacing w:val="-1"/>
          <w:sz w:val="28"/>
          <w:szCs w:val="28"/>
        </w:rPr>
        <w:t>（三）因犯罪被判处剥夺政治权利正在执行期间或者曾经被判</w:t>
      </w:r>
      <w:r>
        <w:rPr>
          <w:rFonts w:ascii="仿宋" w:hAnsi="仿宋" w:eastAsia="仿宋" w:cs="仿宋"/>
          <w:spacing w:val="7"/>
          <w:sz w:val="28"/>
          <w:szCs w:val="28"/>
        </w:rPr>
        <w:t xml:space="preserve"> </w:t>
      </w:r>
      <w:r>
        <w:rPr>
          <w:rFonts w:ascii="仿宋" w:hAnsi="仿宋" w:eastAsia="仿宋" w:cs="仿宋"/>
          <w:spacing w:val="-2"/>
          <w:sz w:val="28"/>
          <w:szCs w:val="28"/>
        </w:rPr>
        <w:t>处剥夺政治权利的；</w:t>
      </w:r>
    </w:p>
    <w:p w14:paraId="27C15B76">
      <w:pPr>
        <w:spacing w:line="288" w:lineRule="auto"/>
        <w:rPr>
          <w:rFonts w:ascii="Arial"/>
          <w:sz w:val="21"/>
        </w:rPr>
      </w:pPr>
    </w:p>
    <w:p w14:paraId="52604062">
      <w:pPr>
        <w:spacing w:before="91" w:line="296" w:lineRule="auto"/>
        <w:ind w:left="37" w:right="80" w:firstLine="555"/>
        <w:rPr>
          <w:rFonts w:ascii="仿宋" w:hAnsi="仿宋" w:eastAsia="仿宋" w:cs="仿宋"/>
          <w:sz w:val="28"/>
          <w:szCs w:val="28"/>
        </w:rPr>
      </w:pPr>
      <w:r>
        <w:rPr>
          <w:rFonts w:ascii="仿宋" w:hAnsi="仿宋" w:eastAsia="仿宋" w:cs="仿宋"/>
          <w:spacing w:val="-6"/>
          <w:sz w:val="28"/>
          <w:szCs w:val="28"/>
        </w:rPr>
        <w:t>（四）</w:t>
      </w:r>
      <w:r>
        <w:rPr>
          <w:rFonts w:ascii="仿宋" w:hAnsi="仿宋" w:eastAsia="仿宋" w:cs="仿宋"/>
          <w:spacing w:val="-79"/>
          <w:sz w:val="28"/>
          <w:szCs w:val="28"/>
        </w:rPr>
        <w:t xml:space="preserve"> </w:t>
      </w:r>
      <w:r>
        <w:rPr>
          <w:rFonts w:ascii="仿宋" w:hAnsi="仿宋" w:eastAsia="仿宋" w:cs="仿宋"/>
          <w:spacing w:val="-6"/>
          <w:sz w:val="28"/>
          <w:szCs w:val="28"/>
        </w:rPr>
        <w:t>曾在因违法被撤销登记的基金会担任理事长</w:t>
      </w:r>
      <w:r>
        <w:rPr>
          <w:rFonts w:ascii="仿宋" w:hAnsi="仿宋" w:eastAsia="仿宋" w:cs="仿宋"/>
          <w:spacing w:val="-7"/>
          <w:sz w:val="28"/>
          <w:szCs w:val="28"/>
        </w:rPr>
        <w:t>、副理事长或</w:t>
      </w:r>
      <w:r>
        <w:rPr>
          <w:rFonts w:ascii="仿宋" w:hAnsi="仿宋" w:eastAsia="仿宋" w:cs="仿宋"/>
          <w:sz w:val="28"/>
          <w:szCs w:val="28"/>
        </w:rPr>
        <w:t xml:space="preserve"> </w:t>
      </w:r>
      <w:r>
        <w:rPr>
          <w:rFonts w:ascii="仿宋" w:hAnsi="仿宋" w:eastAsia="仿宋" w:cs="仿宋"/>
          <w:spacing w:val="-4"/>
          <w:sz w:val="28"/>
          <w:szCs w:val="28"/>
        </w:rPr>
        <w:t>者秘书长，且对该基金会的违法行为负有个人责任，自该基金会被撤</w:t>
      </w:r>
    </w:p>
    <w:p w14:paraId="44462669">
      <w:pPr>
        <w:spacing w:before="224" w:line="223" w:lineRule="auto"/>
        <w:ind w:left="36"/>
        <w:rPr>
          <w:rFonts w:ascii="仿宋" w:hAnsi="仿宋" w:eastAsia="仿宋" w:cs="仿宋"/>
          <w:sz w:val="28"/>
          <w:szCs w:val="28"/>
        </w:rPr>
      </w:pPr>
      <w:r>
        <w:rPr>
          <w:rFonts w:ascii="仿宋" w:hAnsi="仿宋" w:eastAsia="仿宋" w:cs="仿宋"/>
          <w:spacing w:val="-6"/>
          <w:sz w:val="28"/>
          <w:szCs w:val="28"/>
        </w:rPr>
        <w:t>销之日起未逾</w:t>
      </w:r>
      <w:r>
        <w:rPr>
          <w:rFonts w:ascii="仿宋" w:hAnsi="仿宋" w:eastAsia="仿宋" w:cs="仿宋"/>
          <w:spacing w:val="-56"/>
          <w:sz w:val="28"/>
          <w:szCs w:val="28"/>
        </w:rPr>
        <w:t xml:space="preserve"> </w:t>
      </w:r>
      <w:r>
        <w:rPr>
          <w:rFonts w:ascii="仿宋" w:hAnsi="仿宋" w:eastAsia="仿宋" w:cs="仿宋"/>
          <w:spacing w:val="-6"/>
          <w:sz w:val="28"/>
          <w:szCs w:val="28"/>
        </w:rPr>
        <w:t>5</w:t>
      </w:r>
      <w:r>
        <w:rPr>
          <w:rFonts w:ascii="仿宋" w:hAnsi="仿宋" w:eastAsia="仿宋" w:cs="仿宋"/>
          <w:spacing w:val="-45"/>
          <w:sz w:val="28"/>
          <w:szCs w:val="28"/>
        </w:rPr>
        <w:t xml:space="preserve"> </w:t>
      </w:r>
      <w:r>
        <w:rPr>
          <w:rFonts w:ascii="仿宋" w:hAnsi="仿宋" w:eastAsia="仿宋" w:cs="仿宋"/>
          <w:spacing w:val="-6"/>
          <w:sz w:val="28"/>
          <w:szCs w:val="28"/>
        </w:rPr>
        <w:t>年的。</w:t>
      </w:r>
    </w:p>
    <w:p w14:paraId="18850BB8">
      <w:pPr>
        <w:spacing w:line="289" w:lineRule="auto"/>
        <w:rPr>
          <w:rFonts w:ascii="Arial"/>
          <w:sz w:val="21"/>
        </w:rPr>
      </w:pPr>
    </w:p>
    <w:p w14:paraId="12FE1014">
      <w:pPr>
        <w:spacing w:before="91" w:line="355" w:lineRule="auto"/>
        <w:ind w:left="38" w:right="80" w:firstLine="565"/>
        <w:rPr>
          <w:rFonts w:ascii="仿宋" w:hAnsi="仿宋" w:eastAsia="仿宋" w:cs="仿宋"/>
          <w:sz w:val="28"/>
          <w:szCs w:val="28"/>
        </w:rPr>
      </w:pPr>
      <w:r>
        <w:rPr>
          <w:rFonts w:ascii="仿宋" w:hAnsi="仿宋" w:eastAsia="仿宋" w:cs="仿宋"/>
          <w:b/>
          <w:bCs/>
          <w:spacing w:val="-2"/>
          <w:sz w:val="28"/>
          <w:szCs w:val="28"/>
        </w:rPr>
        <w:t>第二十六条</w:t>
      </w:r>
      <w:r>
        <w:rPr>
          <w:rFonts w:ascii="仿宋" w:hAnsi="仿宋" w:eastAsia="仿宋" w:cs="仿宋"/>
          <w:spacing w:val="-2"/>
          <w:sz w:val="28"/>
          <w:szCs w:val="28"/>
        </w:rPr>
        <w:t xml:space="preserve"> 本基金会的理事长、副理事长、秘书长每届任期</w:t>
      </w:r>
      <w:r>
        <w:rPr>
          <w:rFonts w:ascii="仿宋" w:hAnsi="仿宋" w:eastAsia="仿宋" w:cs="仿宋"/>
          <w:spacing w:val="-53"/>
          <w:sz w:val="28"/>
          <w:szCs w:val="28"/>
        </w:rPr>
        <w:t xml:space="preserve"> </w:t>
      </w:r>
      <w:r>
        <w:rPr>
          <w:rFonts w:ascii="仿宋" w:hAnsi="仿宋" w:eastAsia="仿宋" w:cs="仿宋"/>
          <w:spacing w:val="-2"/>
          <w:sz w:val="28"/>
          <w:szCs w:val="28"/>
        </w:rPr>
        <w:t>5</w:t>
      </w:r>
      <w:r>
        <w:rPr>
          <w:rFonts w:ascii="仿宋" w:hAnsi="仿宋" w:eastAsia="仿宋" w:cs="仿宋"/>
          <w:sz w:val="28"/>
          <w:szCs w:val="28"/>
        </w:rPr>
        <w:t xml:space="preserve"> </w:t>
      </w:r>
      <w:r>
        <w:rPr>
          <w:rFonts w:ascii="仿宋" w:hAnsi="仿宋" w:eastAsia="仿宋" w:cs="仿宋"/>
          <w:spacing w:val="-4"/>
          <w:sz w:val="28"/>
          <w:szCs w:val="28"/>
        </w:rPr>
        <w:t>年，连任不超过两届。因特殊情况需超届连任的，须经理事会特殊程</w:t>
      </w:r>
    </w:p>
    <w:p w14:paraId="50FE3F92">
      <w:pPr>
        <w:spacing w:line="355" w:lineRule="auto"/>
        <w:rPr>
          <w:rFonts w:ascii="仿宋" w:hAnsi="仿宋" w:eastAsia="仿宋" w:cs="仿宋"/>
          <w:sz w:val="28"/>
          <w:szCs w:val="28"/>
        </w:rPr>
        <w:sectPr>
          <w:footerReference r:id="rId12" w:type="default"/>
          <w:pgSz w:w="11906" w:h="16839"/>
          <w:pgMar w:top="400" w:right="1718" w:bottom="1151" w:left="1785" w:header="0" w:footer="989" w:gutter="0"/>
          <w:pgNumType w:fmt="decimal"/>
          <w:cols w:space="720" w:num="1"/>
        </w:sectPr>
      </w:pPr>
    </w:p>
    <w:p w14:paraId="43EE4EBD">
      <w:pPr>
        <w:spacing w:line="286" w:lineRule="auto"/>
        <w:rPr>
          <w:rFonts w:ascii="Arial"/>
          <w:sz w:val="21"/>
        </w:rPr>
      </w:pPr>
    </w:p>
    <w:p w14:paraId="60362430">
      <w:pPr>
        <w:spacing w:line="287" w:lineRule="auto"/>
        <w:rPr>
          <w:rFonts w:ascii="Arial"/>
          <w:sz w:val="21"/>
        </w:rPr>
      </w:pPr>
    </w:p>
    <w:p w14:paraId="59F8291D">
      <w:pPr>
        <w:spacing w:line="287" w:lineRule="auto"/>
        <w:rPr>
          <w:rFonts w:ascii="Arial"/>
          <w:sz w:val="21"/>
        </w:rPr>
      </w:pPr>
    </w:p>
    <w:p w14:paraId="2DA0F358">
      <w:pPr>
        <w:spacing w:line="287" w:lineRule="auto"/>
        <w:rPr>
          <w:rFonts w:ascii="Arial"/>
          <w:sz w:val="21"/>
        </w:rPr>
      </w:pPr>
    </w:p>
    <w:p w14:paraId="5918375E">
      <w:pPr>
        <w:spacing w:before="91" w:line="356" w:lineRule="auto"/>
        <w:ind w:left="36" w:right="218" w:hanging="4"/>
        <w:rPr>
          <w:rFonts w:ascii="仿宋" w:hAnsi="仿宋" w:eastAsia="仿宋" w:cs="仿宋"/>
          <w:sz w:val="28"/>
          <w:szCs w:val="28"/>
        </w:rPr>
      </w:pPr>
      <w:r>
        <w:rPr>
          <w:rFonts w:ascii="仿宋" w:hAnsi="仿宋" w:eastAsia="仿宋" w:cs="仿宋"/>
          <w:spacing w:val="-4"/>
          <w:sz w:val="28"/>
          <w:szCs w:val="28"/>
        </w:rPr>
        <w:t>序表决通过，报业务主管单位审查并经登记管理机关批准同意后，方</w:t>
      </w:r>
      <w:r>
        <w:rPr>
          <w:rFonts w:ascii="仿宋" w:hAnsi="仿宋" w:eastAsia="仿宋" w:cs="仿宋"/>
          <w:spacing w:val="7"/>
          <w:sz w:val="28"/>
          <w:szCs w:val="28"/>
        </w:rPr>
        <w:t xml:space="preserve"> </w:t>
      </w:r>
      <w:r>
        <w:rPr>
          <w:rFonts w:ascii="仿宋" w:hAnsi="仿宋" w:eastAsia="仿宋" w:cs="仿宋"/>
          <w:spacing w:val="-6"/>
          <w:sz w:val="28"/>
          <w:szCs w:val="28"/>
        </w:rPr>
        <w:t>可任职。</w:t>
      </w:r>
    </w:p>
    <w:p w14:paraId="7B62DFBD">
      <w:pPr>
        <w:spacing w:before="201" w:line="353" w:lineRule="auto"/>
        <w:ind w:left="38" w:right="259" w:firstLine="565"/>
        <w:rPr>
          <w:rFonts w:ascii="仿宋" w:hAnsi="仿宋" w:eastAsia="仿宋" w:cs="仿宋"/>
          <w:sz w:val="28"/>
          <w:szCs w:val="28"/>
        </w:rPr>
      </w:pPr>
      <w:r>
        <w:rPr>
          <w:rFonts w:ascii="仿宋" w:hAnsi="仿宋" w:eastAsia="仿宋" w:cs="仿宋"/>
          <w:b/>
          <w:bCs/>
          <w:spacing w:val="-2"/>
          <w:sz w:val="28"/>
          <w:szCs w:val="28"/>
        </w:rPr>
        <w:t>第二十七条</w:t>
      </w:r>
      <w:r>
        <w:rPr>
          <w:rFonts w:ascii="仿宋" w:hAnsi="仿宋" w:eastAsia="仿宋" w:cs="仿宋"/>
          <w:spacing w:val="-2"/>
          <w:sz w:val="28"/>
          <w:szCs w:val="28"/>
        </w:rPr>
        <w:t xml:space="preserve"> 本基金会理事长为基金会法定代表人。本基金会法</w:t>
      </w:r>
      <w:r>
        <w:rPr>
          <w:rFonts w:ascii="仿宋" w:hAnsi="仿宋" w:eastAsia="仿宋" w:cs="仿宋"/>
          <w:spacing w:val="16"/>
          <w:sz w:val="28"/>
          <w:szCs w:val="28"/>
        </w:rPr>
        <w:t xml:space="preserve"> </w:t>
      </w:r>
      <w:r>
        <w:rPr>
          <w:rFonts w:ascii="仿宋" w:hAnsi="仿宋" w:eastAsia="仿宋" w:cs="仿宋"/>
          <w:spacing w:val="-2"/>
          <w:sz w:val="28"/>
          <w:szCs w:val="28"/>
        </w:rPr>
        <w:t>定代表人不兼任其他组织的法定代表人。</w:t>
      </w:r>
    </w:p>
    <w:p w14:paraId="213FD201">
      <w:pPr>
        <w:spacing w:before="211" w:line="223" w:lineRule="auto"/>
        <w:ind w:left="592"/>
        <w:rPr>
          <w:rFonts w:ascii="仿宋" w:hAnsi="仿宋" w:eastAsia="仿宋" w:cs="仿宋"/>
          <w:sz w:val="28"/>
          <w:szCs w:val="28"/>
        </w:rPr>
      </w:pPr>
      <w:r>
        <w:rPr>
          <w:rFonts w:ascii="仿宋" w:hAnsi="仿宋" w:eastAsia="仿宋" w:cs="仿宋"/>
          <w:spacing w:val="-1"/>
          <w:sz w:val="28"/>
          <w:szCs w:val="28"/>
        </w:rPr>
        <w:t>本基金会法定代表人应当由中国内地居民担任。</w:t>
      </w:r>
    </w:p>
    <w:p w14:paraId="2ACF8E07">
      <w:pPr>
        <w:spacing w:line="288" w:lineRule="auto"/>
        <w:rPr>
          <w:rFonts w:ascii="Arial"/>
          <w:sz w:val="21"/>
        </w:rPr>
      </w:pPr>
    </w:p>
    <w:p w14:paraId="484EEE17">
      <w:pPr>
        <w:spacing w:before="91" w:line="362" w:lineRule="auto"/>
        <w:ind w:left="31" w:right="218" w:firstLine="561"/>
        <w:jc w:val="both"/>
        <w:rPr>
          <w:rFonts w:ascii="仿宋" w:hAnsi="仿宋" w:eastAsia="仿宋" w:cs="仿宋"/>
          <w:sz w:val="28"/>
          <w:szCs w:val="28"/>
        </w:rPr>
      </w:pPr>
      <w:r>
        <w:rPr>
          <w:rFonts w:ascii="仿宋" w:hAnsi="仿宋" w:eastAsia="仿宋" w:cs="仿宋"/>
          <w:spacing w:val="-4"/>
          <w:sz w:val="28"/>
          <w:szCs w:val="28"/>
        </w:rPr>
        <w:t>本基金会法定代表人在任期间，基金会发生违反《基金会管</w:t>
      </w:r>
      <w:r>
        <w:rPr>
          <w:rFonts w:ascii="仿宋" w:hAnsi="仿宋" w:eastAsia="仿宋" w:cs="仿宋"/>
          <w:spacing w:val="-5"/>
          <w:sz w:val="28"/>
          <w:szCs w:val="28"/>
        </w:rPr>
        <w:t>理条</w:t>
      </w:r>
      <w:r>
        <w:rPr>
          <w:rFonts w:ascii="仿宋" w:hAnsi="仿宋" w:eastAsia="仿宋" w:cs="仿宋"/>
          <w:sz w:val="28"/>
          <w:szCs w:val="28"/>
        </w:rPr>
        <w:t xml:space="preserve"> </w:t>
      </w:r>
      <w:r>
        <w:rPr>
          <w:rFonts w:ascii="仿宋" w:hAnsi="仿宋" w:eastAsia="仿宋" w:cs="仿宋"/>
          <w:spacing w:val="-4"/>
          <w:sz w:val="28"/>
          <w:szCs w:val="28"/>
        </w:rPr>
        <w:t>例》和本章程的行为，法定代表人应当承担相关责任。因法定代表人</w:t>
      </w:r>
      <w:r>
        <w:rPr>
          <w:rFonts w:ascii="仿宋" w:hAnsi="仿宋" w:eastAsia="仿宋" w:cs="仿宋"/>
          <w:spacing w:val="7"/>
          <w:sz w:val="28"/>
          <w:szCs w:val="28"/>
        </w:rPr>
        <w:t xml:space="preserve"> </w:t>
      </w:r>
      <w:r>
        <w:rPr>
          <w:rFonts w:ascii="仿宋" w:hAnsi="仿宋" w:eastAsia="仿宋" w:cs="仿宋"/>
          <w:spacing w:val="-4"/>
          <w:sz w:val="28"/>
          <w:szCs w:val="28"/>
        </w:rPr>
        <w:t>失职，导致基金会发生违法行为或基金会财产损失的，法定代表人应</w:t>
      </w:r>
      <w:r>
        <w:rPr>
          <w:rFonts w:ascii="仿宋" w:hAnsi="仿宋" w:eastAsia="仿宋" w:cs="仿宋"/>
          <w:spacing w:val="7"/>
          <w:sz w:val="28"/>
          <w:szCs w:val="28"/>
        </w:rPr>
        <w:t xml:space="preserve"> </w:t>
      </w:r>
      <w:r>
        <w:rPr>
          <w:rFonts w:ascii="仿宋" w:hAnsi="仿宋" w:eastAsia="仿宋" w:cs="仿宋"/>
          <w:spacing w:val="-3"/>
          <w:sz w:val="28"/>
          <w:szCs w:val="28"/>
        </w:rPr>
        <w:t>当承担个人责任。</w:t>
      </w:r>
    </w:p>
    <w:p w14:paraId="079BDF36">
      <w:pPr>
        <w:spacing w:before="206" w:line="222" w:lineRule="auto"/>
        <w:ind w:left="603"/>
        <w:rPr>
          <w:rFonts w:ascii="仿宋" w:hAnsi="仿宋" w:eastAsia="仿宋" w:cs="仿宋"/>
          <w:sz w:val="28"/>
          <w:szCs w:val="28"/>
        </w:rPr>
      </w:pPr>
      <w:r>
        <w:rPr>
          <w:rFonts w:ascii="仿宋" w:hAnsi="仿宋" w:eastAsia="仿宋" w:cs="仿宋"/>
          <w:b/>
          <w:bCs/>
          <w:spacing w:val="-2"/>
          <w:sz w:val="28"/>
          <w:szCs w:val="28"/>
        </w:rPr>
        <w:t>第二十八条</w:t>
      </w:r>
      <w:r>
        <w:rPr>
          <w:rFonts w:ascii="仿宋" w:hAnsi="仿宋" w:eastAsia="仿宋" w:cs="仿宋"/>
          <w:spacing w:val="-2"/>
          <w:sz w:val="28"/>
          <w:szCs w:val="28"/>
        </w:rPr>
        <w:t xml:space="preserve"> 本基金会理事长行使下列职权：</w:t>
      </w:r>
    </w:p>
    <w:p w14:paraId="4702B82D">
      <w:pPr>
        <w:spacing w:line="291" w:lineRule="auto"/>
        <w:rPr>
          <w:rFonts w:ascii="Arial"/>
          <w:sz w:val="21"/>
        </w:rPr>
      </w:pPr>
    </w:p>
    <w:p w14:paraId="1B236DB6">
      <w:pPr>
        <w:spacing w:before="91" w:line="222" w:lineRule="auto"/>
        <w:ind w:left="592"/>
        <w:rPr>
          <w:rFonts w:ascii="仿宋" w:hAnsi="仿宋" w:eastAsia="仿宋" w:cs="仿宋"/>
          <w:sz w:val="28"/>
          <w:szCs w:val="28"/>
        </w:rPr>
      </w:pPr>
      <w:r>
        <w:rPr>
          <w:rFonts w:ascii="仿宋" w:hAnsi="仿宋" w:eastAsia="仿宋" w:cs="仿宋"/>
          <w:spacing w:val="-2"/>
          <w:sz w:val="28"/>
          <w:szCs w:val="28"/>
        </w:rPr>
        <w:t>（一）召集和主持理事会会议；</w:t>
      </w:r>
    </w:p>
    <w:p w14:paraId="054EE6CB">
      <w:pPr>
        <w:spacing w:line="289" w:lineRule="auto"/>
        <w:rPr>
          <w:rFonts w:ascii="Arial"/>
          <w:sz w:val="21"/>
        </w:rPr>
      </w:pPr>
    </w:p>
    <w:p w14:paraId="50404C87">
      <w:pPr>
        <w:spacing w:before="92" w:line="221" w:lineRule="auto"/>
        <w:ind w:left="592"/>
        <w:rPr>
          <w:rFonts w:ascii="仿宋" w:hAnsi="仿宋" w:eastAsia="仿宋" w:cs="仿宋"/>
          <w:sz w:val="28"/>
          <w:szCs w:val="28"/>
        </w:rPr>
      </w:pPr>
      <w:r>
        <w:rPr>
          <w:rFonts w:ascii="仿宋" w:hAnsi="仿宋" w:eastAsia="仿宋" w:cs="仿宋"/>
          <w:spacing w:val="-2"/>
          <w:sz w:val="28"/>
          <w:szCs w:val="28"/>
        </w:rPr>
        <w:t>（二）检查理事会决议的落实情况；</w:t>
      </w:r>
    </w:p>
    <w:p w14:paraId="19074FF7">
      <w:pPr>
        <w:spacing w:line="294" w:lineRule="auto"/>
        <w:rPr>
          <w:rFonts w:ascii="Arial"/>
          <w:sz w:val="21"/>
        </w:rPr>
      </w:pPr>
    </w:p>
    <w:p w14:paraId="1BD5DC2B">
      <w:pPr>
        <w:spacing w:before="92" w:line="223" w:lineRule="auto"/>
        <w:ind w:left="592"/>
        <w:rPr>
          <w:rFonts w:ascii="仿宋" w:hAnsi="仿宋" w:eastAsia="仿宋" w:cs="仿宋"/>
          <w:sz w:val="28"/>
          <w:szCs w:val="28"/>
        </w:rPr>
      </w:pPr>
      <w:r>
        <w:rPr>
          <w:rFonts w:ascii="仿宋" w:hAnsi="仿宋" w:eastAsia="仿宋" w:cs="仿宋"/>
          <w:spacing w:val="-2"/>
          <w:sz w:val="28"/>
          <w:szCs w:val="28"/>
        </w:rPr>
        <w:t>（三）代表基金会签署重要文件。</w:t>
      </w:r>
    </w:p>
    <w:p w14:paraId="1C2077DA">
      <w:pPr>
        <w:spacing w:line="289" w:lineRule="auto"/>
        <w:rPr>
          <w:rFonts w:ascii="Arial"/>
          <w:sz w:val="21"/>
        </w:rPr>
      </w:pPr>
    </w:p>
    <w:p w14:paraId="37FA32B9">
      <w:pPr>
        <w:spacing w:before="91" w:line="220" w:lineRule="auto"/>
        <w:jc w:val="right"/>
        <w:rPr>
          <w:rFonts w:ascii="仿宋" w:hAnsi="仿宋" w:eastAsia="仿宋" w:cs="仿宋"/>
          <w:sz w:val="28"/>
          <w:szCs w:val="28"/>
        </w:rPr>
      </w:pPr>
      <w:r>
        <w:rPr>
          <w:rFonts w:ascii="仿宋" w:hAnsi="仿宋" w:eastAsia="仿宋" w:cs="仿宋"/>
          <w:spacing w:val="-6"/>
          <w:sz w:val="28"/>
          <w:szCs w:val="28"/>
        </w:rPr>
        <w:t>本基金会秘书长在理事长领导下开展工作，秘书长行使下列职</w:t>
      </w:r>
      <w:r>
        <w:rPr>
          <w:rFonts w:ascii="仿宋" w:hAnsi="仿宋" w:eastAsia="仿宋" w:cs="仿宋"/>
          <w:spacing w:val="-7"/>
          <w:sz w:val="28"/>
          <w:szCs w:val="28"/>
        </w:rPr>
        <w:t>权：</w:t>
      </w:r>
    </w:p>
    <w:p w14:paraId="6317F1E9">
      <w:pPr>
        <w:spacing w:line="295" w:lineRule="auto"/>
        <w:rPr>
          <w:rFonts w:ascii="Arial"/>
          <w:sz w:val="21"/>
        </w:rPr>
      </w:pPr>
    </w:p>
    <w:p w14:paraId="46462960">
      <w:pPr>
        <w:spacing w:before="91" w:line="221" w:lineRule="auto"/>
        <w:ind w:left="592"/>
        <w:rPr>
          <w:rFonts w:ascii="仿宋" w:hAnsi="仿宋" w:eastAsia="仿宋" w:cs="仿宋"/>
          <w:sz w:val="28"/>
          <w:szCs w:val="28"/>
        </w:rPr>
      </w:pPr>
      <w:r>
        <w:rPr>
          <w:rFonts w:ascii="仿宋" w:hAnsi="仿宋" w:eastAsia="仿宋" w:cs="仿宋"/>
          <w:spacing w:val="-1"/>
          <w:sz w:val="28"/>
          <w:szCs w:val="28"/>
        </w:rPr>
        <w:t>（一）主持开展本基金会日常工作，组织实施理事会决议；</w:t>
      </w:r>
    </w:p>
    <w:p w14:paraId="4914A4DC">
      <w:pPr>
        <w:spacing w:line="292" w:lineRule="auto"/>
        <w:rPr>
          <w:rFonts w:ascii="Arial"/>
          <w:sz w:val="21"/>
        </w:rPr>
      </w:pPr>
    </w:p>
    <w:p w14:paraId="12D6C932">
      <w:pPr>
        <w:spacing w:before="92" w:line="223" w:lineRule="auto"/>
        <w:ind w:left="592"/>
        <w:rPr>
          <w:rFonts w:ascii="仿宋" w:hAnsi="仿宋" w:eastAsia="仿宋" w:cs="仿宋"/>
          <w:sz w:val="28"/>
          <w:szCs w:val="28"/>
        </w:rPr>
      </w:pPr>
      <w:r>
        <w:rPr>
          <w:rFonts w:ascii="仿宋" w:hAnsi="仿宋" w:eastAsia="仿宋" w:cs="仿宋"/>
          <w:spacing w:val="-1"/>
          <w:sz w:val="28"/>
          <w:szCs w:val="28"/>
        </w:rPr>
        <w:t>（二）组织实施基金会年度公益活动计划；</w:t>
      </w:r>
    </w:p>
    <w:p w14:paraId="3866CB40">
      <w:pPr>
        <w:spacing w:line="289" w:lineRule="auto"/>
        <w:rPr>
          <w:rFonts w:ascii="Arial"/>
          <w:sz w:val="21"/>
        </w:rPr>
      </w:pPr>
    </w:p>
    <w:p w14:paraId="5EBBEDFC">
      <w:pPr>
        <w:spacing w:before="91" w:line="222" w:lineRule="auto"/>
        <w:ind w:left="592"/>
        <w:rPr>
          <w:rFonts w:ascii="仿宋" w:hAnsi="仿宋" w:eastAsia="仿宋" w:cs="仿宋"/>
          <w:sz w:val="28"/>
          <w:szCs w:val="28"/>
        </w:rPr>
      </w:pPr>
      <w:r>
        <w:rPr>
          <w:rFonts w:ascii="仿宋" w:hAnsi="仿宋" w:eastAsia="仿宋" w:cs="仿宋"/>
          <w:spacing w:val="-1"/>
          <w:sz w:val="28"/>
          <w:szCs w:val="28"/>
        </w:rPr>
        <w:t>（三）拟订资金的筹集、管理和使用计划；</w:t>
      </w:r>
    </w:p>
    <w:p w14:paraId="15BCFFF9">
      <w:pPr>
        <w:spacing w:line="292" w:lineRule="auto"/>
        <w:rPr>
          <w:rFonts w:ascii="Arial"/>
          <w:sz w:val="21"/>
        </w:rPr>
      </w:pPr>
    </w:p>
    <w:p w14:paraId="6FCC67E1">
      <w:pPr>
        <w:spacing w:before="92" w:line="222" w:lineRule="auto"/>
        <w:ind w:left="592"/>
        <w:rPr>
          <w:rFonts w:ascii="仿宋" w:hAnsi="仿宋" w:eastAsia="仿宋" w:cs="仿宋"/>
          <w:sz w:val="28"/>
          <w:szCs w:val="28"/>
        </w:rPr>
      </w:pPr>
      <w:r>
        <w:rPr>
          <w:rFonts w:ascii="仿宋" w:hAnsi="仿宋" w:eastAsia="仿宋" w:cs="仿宋"/>
          <w:spacing w:val="-1"/>
          <w:sz w:val="28"/>
          <w:szCs w:val="28"/>
        </w:rPr>
        <w:t>（四）拟订基金会的内部管理规章制度，报理事会审批；</w:t>
      </w:r>
    </w:p>
    <w:p w14:paraId="0F9433A8">
      <w:pPr>
        <w:spacing w:line="289" w:lineRule="auto"/>
        <w:rPr>
          <w:rFonts w:ascii="Arial"/>
          <w:sz w:val="21"/>
        </w:rPr>
      </w:pPr>
    </w:p>
    <w:p w14:paraId="28B6776F">
      <w:pPr>
        <w:spacing w:before="92" w:line="221" w:lineRule="auto"/>
        <w:ind w:left="592"/>
        <w:rPr>
          <w:rFonts w:ascii="仿宋" w:hAnsi="仿宋" w:eastAsia="仿宋" w:cs="仿宋"/>
          <w:sz w:val="28"/>
          <w:szCs w:val="28"/>
        </w:rPr>
      </w:pPr>
      <w:r>
        <w:rPr>
          <w:rFonts w:ascii="仿宋" w:hAnsi="仿宋" w:eastAsia="仿宋" w:cs="仿宋"/>
          <w:spacing w:val="-2"/>
          <w:sz w:val="28"/>
          <w:szCs w:val="28"/>
        </w:rPr>
        <w:t>（五）协调各机构开展工作；</w:t>
      </w:r>
    </w:p>
    <w:p w14:paraId="6AEEE89E">
      <w:pPr>
        <w:spacing w:line="294" w:lineRule="auto"/>
        <w:rPr>
          <w:rFonts w:ascii="Arial"/>
          <w:sz w:val="21"/>
        </w:rPr>
      </w:pPr>
    </w:p>
    <w:p w14:paraId="4940CA41">
      <w:pPr>
        <w:spacing w:before="91" w:line="223" w:lineRule="auto"/>
        <w:jc w:val="right"/>
        <w:rPr>
          <w:rFonts w:ascii="仿宋" w:hAnsi="仿宋" w:eastAsia="仿宋" w:cs="仿宋"/>
          <w:sz w:val="28"/>
          <w:szCs w:val="28"/>
        </w:rPr>
      </w:pPr>
      <w:r>
        <w:rPr>
          <w:rFonts w:ascii="仿宋" w:hAnsi="仿宋" w:eastAsia="仿宋" w:cs="仿宋"/>
          <w:spacing w:val="-6"/>
          <w:sz w:val="28"/>
          <w:szCs w:val="28"/>
        </w:rPr>
        <w:t>（六）提议聘任或解聘副秘书长以及财务负责人，由理事会决定；</w:t>
      </w:r>
    </w:p>
    <w:p w14:paraId="30F8F00A">
      <w:pPr>
        <w:spacing w:line="223" w:lineRule="auto"/>
        <w:rPr>
          <w:rFonts w:ascii="仿宋" w:hAnsi="仿宋" w:eastAsia="仿宋" w:cs="仿宋"/>
          <w:sz w:val="28"/>
          <w:szCs w:val="28"/>
        </w:rPr>
        <w:sectPr>
          <w:footerReference r:id="rId13" w:type="default"/>
          <w:pgSz w:w="11906" w:h="16839"/>
          <w:pgMar w:top="400" w:right="1580" w:bottom="1149" w:left="1785" w:header="0" w:footer="989" w:gutter="0"/>
          <w:pgNumType w:fmt="decimal"/>
          <w:cols w:space="720" w:num="1"/>
        </w:sectPr>
      </w:pPr>
    </w:p>
    <w:p w14:paraId="78AB25DF">
      <w:pPr>
        <w:spacing w:line="286" w:lineRule="auto"/>
        <w:rPr>
          <w:rFonts w:ascii="Arial"/>
          <w:sz w:val="21"/>
        </w:rPr>
      </w:pPr>
    </w:p>
    <w:p w14:paraId="7F8C419F">
      <w:pPr>
        <w:spacing w:line="287" w:lineRule="auto"/>
        <w:rPr>
          <w:rFonts w:ascii="Arial"/>
          <w:sz w:val="21"/>
        </w:rPr>
      </w:pPr>
    </w:p>
    <w:p w14:paraId="3C335138">
      <w:pPr>
        <w:spacing w:line="287" w:lineRule="auto"/>
        <w:rPr>
          <w:rFonts w:ascii="Arial"/>
          <w:sz w:val="21"/>
        </w:rPr>
      </w:pPr>
    </w:p>
    <w:p w14:paraId="3640FC64">
      <w:pPr>
        <w:spacing w:line="287" w:lineRule="auto"/>
        <w:rPr>
          <w:rFonts w:ascii="Arial"/>
          <w:sz w:val="21"/>
        </w:rPr>
      </w:pPr>
    </w:p>
    <w:p w14:paraId="11C06D82">
      <w:pPr>
        <w:spacing w:before="91" w:line="221" w:lineRule="auto"/>
        <w:ind w:left="592"/>
        <w:rPr>
          <w:rFonts w:ascii="仿宋" w:hAnsi="仿宋" w:eastAsia="仿宋" w:cs="仿宋"/>
          <w:sz w:val="28"/>
          <w:szCs w:val="28"/>
        </w:rPr>
      </w:pPr>
      <w:r>
        <w:rPr>
          <w:rFonts w:ascii="仿宋" w:hAnsi="仿宋" w:eastAsia="仿宋" w:cs="仿宋"/>
          <w:spacing w:val="-2"/>
          <w:sz w:val="28"/>
          <w:szCs w:val="28"/>
        </w:rPr>
        <w:t>（七）决定各机构专职工作人员聘用；</w:t>
      </w:r>
    </w:p>
    <w:p w14:paraId="124A02D5">
      <w:pPr>
        <w:spacing w:line="295" w:lineRule="auto"/>
        <w:rPr>
          <w:rFonts w:ascii="Arial"/>
          <w:sz w:val="21"/>
        </w:rPr>
      </w:pPr>
    </w:p>
    <w:p w14:paraId="2BD6FE2F">
      <w:pPr>
        <w:spacing w:before="91" w:line="222" w:lineRule="auto"/>
        <w:ind w:left="592"/>
        <w:rPr>
          <w:rFonts w:ascii="仿宋" w:hAnsi="仿宋" w:eastAsia="仿宋" w:cs="仿宋"/>
          <w:sz w:val="28"/>
          <w:szCs w:val="28"/>
        </w:rPr>
      </w:pPr>
      <w:r>
        <w:rPr>
          <w:rFonts w:ascii="仿宋" w:hAnsi="仿宋" w:eastAsia="仿宋" w:cs="仿宋"/>
          <w:spacing w:val="-2"/>
          <w:sz w:val="28"/>
          <w:szCs w:val="28"/>
        </w:rPr>
        <w:t>（八）章程和理事会赋予的其他职权。</w:t>
      </w:r>
    </w:p>
    <w:p w14:paraId="62CA5664">
      <w:pPr>
        <w:spacing w:line="290" w:lineRule="auto"/>
        <w:rPr>
          <w:rFonts w:ascii="Arial"/>
          <w:sz w:val="21"/>
        </w:rPr>
      </w:pPr>
    </w:p>
    <w:p w14:paraId="6920A49A">
      <w:pPr>
        <w:spacing w:before="91" w:line="222" w:lineRule="auto"/>
        <w:ind w:left="2513"/>
        <w:rPr>
          <w:rFonts w:ascii="黑体" w:hAnsi="黑体" w:eastAsia="黑体" w:cs="黑体"/>
          <w:sz w:val="28"/>
          <w:szCs w:val="28"/>
        </w:rPr>
      </w:pPr>
      <w:bookmarkStart w:id="14" w:name="bookmark18"/>
      <w:bookmarkEnd w:id="14"/>
      <w:r>
        <w:rPr>
          <w:rFonts w:ascii="黑体" w:hAnsi="黑体" w:eastAsia="黑体" w:cs="黑体"/>
          <w:b/>
          <w:bCs/>
          <w:spacing w:val="-5"/>
          <w:sz w:val="28"/>
          <w:szCs w:val="28"/>
        </w:rPr>
        <w:t>第四章</w:t>
      </w:r>
      <w:r>
        <w:rPr>
          <w:rFonts w:ascii="黑体" w:hAnsi="黑体" w:eastAsia="黑体" w:cs="黑体"/>
          <w:spacing w:val="119"/>
          <w:sz w:val="28"/>
          <w:szCs w:val="28"/>
        </w:rPr>
        <w:t xml:space="preserve"> </w:t>
      </w:r>
      <w:r>
        <w:rPr>
          <w:rFonts w:ascii="黑体" w:hAnsi="黑体" w:eastAsia="黑体" w:cs="黑体"/>
          <w:b/>
          <w:bCs/>
          <w:spacing w:val="-5"/>
          <w:sz w:val="28"/>
          <w:szCs w:val="28"/>
        </w:rPr>
        <w:t>财产的管理和使用</w:t>
      </w:r>
    </w:p>
    <w:p w14:paraId="147E7D51">
      <w:pPr>
        <w:spacing w:before="222" w:line="222" w:lineRule="auto"/>
        <w:jc w:val="right"/>
        <w:rPr>
          <w:rFonts w:ascii="仿宋" w:hAnsi="仿宋" w:eastAsia="仿宋" w:cs="仿宋"/>
          <w:sz w:val="28"/>
          <w:szCs w:val="28"/>
        </w:rPr>
      </w:pPr>
      <w:r>
        <w:rPr>
          <w:rFonts w:ascii="仿宋" w:hAnsi="仿宋" w:eastAsia="仿宋" w:cs="仿宋"/>
          <w:b/>
          <w:bCs/>
          <w:spacing w:val="-7"/>
          <w:sz w:val="28"/>
          <w:szCs w:val="28"/>
        </w:rPr>
        <w:t>第二十九条</w:t>
      </w:r>
      <w:r>
        <w:rPr>
          <w:rFonts w:ascii="仿宋" w:hAnsi="仿宋" w:eastAsia="仿宋" w:cs="仿宋"/>
          <w:spacing w:val="-7"/>
          <w:sz w:val="28"/>
          <w:szCs w:val="28"/>
        </w:rPr>
        <w:t xml:space="preserve"> 本基金会为非公募基金会，本基金会的收入来源于：</w:t>
      </w:r>
    </w:p>
    <w:p w14:paraId="757B89BD">
      <w:pPr>
        <w:spacing w:line="292" w:lineRule="auto"/>
        <w:rPr>
          <w:rFonts w:ascii="Arial"/>
          <w:sz w:val="21"/>
        </w:rPr>
      </w:pPr>
    </w:p>
    <w:p w14:paraId="0DC36CA8">
      <w:pPr>
        <w:spacing w:before="91" w:line="222" w:lineRule="auto"/>
        <w:ind w:left="592"/>
        <w:rPr>
          <w:rFonts w:ascii="仿宋" w:hAnsi="仿宋" w:eastAsia="仿宋" w:cs="仿宋"/>
          <w:sz w:val="28"/>
          <w:szCs w:val="28"/>
        </w:rPr>
      </w:pPr>
      <w:r>
        <w:rPr>
          <w:rFonts w:ascii="仿宋" w:hAnsi="仿宋" w:eastAsia="仿宋" w:cs="仿宋"/>
          <w:spacing w:val="-5"/>
          <w:sz w:val="28"/>
          <w:szCs w:val="28"/>
        </w:rPr>
        <w:t>（一）</w:t>
      </w:r>
      <w:r>
        <w:rPr>
          <w:rFonts w:ascii="仿宋" w:hAnsi="仿宋" w:eastAsia="仿宋" w:cs="仿宋"/>
          <w:spacing w:val="-54"/>
          <w:sz w:val="28"/>
          <w:szCs w:val="28"/>
        </w:rPr>
        <w:t xml:space="preserve"> </w:t>
      </w:r>
      <w:r>
        <w:rPr>
          <w:rFonts w:ascii="仿宋" w:hAnsi="仿宋" w:eastAsia="仿宋" w:cs="仿宋"/>
          <w:spacing w:val="-5"/>
          <w:sz w:val="28"/>
          <w:szCs w:val="28"/>
        </w:rPr>
        <w:t>自然人、法人或其他组织自愿定向捐赠；</w:t>
      </w:r>
    </w:p>
    <w:p w14:paraId="7DD68EF6">
      <w:pPr>
        <w:spacing w:line="290" w:lineRule="auto"/>
        <w:rPr>
          <w:rFonts w:ascii="Arial"/>
          <w:sz w:val="21"/>
        </w:rPr>
      </w:pPr>
    </w:p>
    <w:p w14:paraId="377652B0">
      <w:pPr>
        <w:spacing w:before="91" w:line="223" w:lineRule="auto"/>
        <w:ind w:left="592"/>
        <w:rPr>
          <w:rFonts w:ascii="仿宋" w:hAnsi="仿宋" w:eastAsia="仿宋" w:cs="仿宋"/>
          <w:sz w:val="28"/>
          <w:szCs w:val="28"/>
        </w:rPr>
      </w:pPr>
      <w:r>
        <w:rPr>
          <w:rFonts w:ascii="仿宋" w:hAnsi="仿宋" w:eastAsia="仿宋" w:cs="仿宋"/>
          <w:spacing w:val="-3"/>
          <w:sz w:val="28"/>
          <w:szCs w:val="28"/>
        </w:rPr>
        <w:t>（二）投资收益；</w:t>
      </w:r>
    </w:p>
    <w:p w14:paraId="24091A67">
      <w:pPr>
        <w:spacing w:line="291" w:lineRule="auto"/>
        <w:rPr>
          <w:rFonts w:ascii="Arial"/>
          <w:sz w:val="21"/>
        </w:rPr>
      </w:pPr>
    </w:p>
    <w:p w14:paraId="1DDA2AC6">
      <w:pPr>
        <w:spacing w:before="92" w:line="222" w:lineRule="auto"/>
        <w:ind w:left="592"/>
        <w:rPr>
          <w:rFonts w:ascii="仿宋" w:hAnsi="仿宋" w:eastAsia="仿宋" w:cs="仿宋"/>
          <w:sz w:val="28"/>
          <w:szCs w:val="28"/>
        </w:rPr>
      </w:pPr>
      <w:r>
        <w:rPr>
          <w:rFonts w:ascii="仿宋" w:hAnsi="仿宋" w:eastAsia="仿宋" w:cs="仿宋"/>
          <w:spacing w:val="-2"/>
          <w:sz w:val="28"/>
          <w:szCs w:val="28"/>
        </w:rPr>
        <w:t>（三）其他合法收入等。</w:t>
      </w:r>
    </w:p>
    <w:p w14:paraId="41A6C326">
      <w:pPr>
        <w:spacing w:line="289" w:lineRule="auto"/>
        <w:rPr>
          <w:rFonts w:ascii="Arial"/>
          <w:sz w:val="21"/>
        </w:rPr>
      </w:pPr>
    </w:p>
    <w:p w14:paraId="0D5BBB87">
      <w:pPr>
        <w:spacing w:before="92" w:line="354" w:lineRule="auto"/>
        <w:ind w:left="33" w:right="162" w:firstLine="570"/>
        <w:rPr>
          <w:rFonts w:ascii="仿宋" w:hAnsi="仿宋" w:eastAsia="仿宋" w:cs="仿宋"/>
          <w:sz w:val="28"/>
          <w:szCs w:val="28"/>
        </w:rPr>
      </w:pPr>
      <w:r>
        <w:rPr>
          <w:rFonts w:ascii="仿宋" w:hAnsi="仿宋" w:eastAsia="仿宋" w:cs="仿宋"/>
          <w:b/>
          <w:bCs/>
          <w:spacing w:val="-3"/>
          <w:sz w:val="28"/>
          <w:szCs w:val="28"/>
        </w:rPr>
        <w:t>第三十条</w:t>
      </w:r>
      <w:r>
        <w:rPr>
          <w:rFonts w:ascii="仿宋" w:hAnsi="仿宋" w:eastAsia="仿宋" w:cs="仿宋"/>
          <w:spacing w:val="-3"/>
          <w:sz w:val="28"/>
          <w:szCs w:val="28"/>
        </w:rPr>
        <w:t xml:space="preserve"> 本基金会的财产及其他收入受法律保护，任何单位、</w:t>
      </w:r>
      <w:r>
        <w:rPr>
          <w:rFonts w:ascii="仿宋" w:hAnsi="仿宋" w:eastAsia="仿宋" w:cs="仿宋"/>
          <w:spacing w:val="1"/>
          <w:sz w:val="28"/>
          <w:szCs w:val="28"/>
        </w:rPr>
        <w:t xml:space="preserve"> </w:t>
      </w:r>
      <w:r>
        <w:rPr>
          <w:rFonts w:ascii="仿宋" w:hAnsi="仿宋" w:eastAsia="仿宋" w:cs="仿宋"/>
          <w:spacing w:val="-2"/>
          <w:sz w:val="28"/>
          <w:szCs w:val="28"/>
        </w:rPr>
        <w:t>个人不得侵占、私分、挪用。</w:t>
      </w:r>
    </w:p>
    <w:p w14:paraId="313858AC">
      <w:pPr>
        <w:spacing w:before="207" w:line="359" w:lineRule="auto"/>
        <w:ind w:left="34" w:right="76" w:firstLine="569"/>
        <w:jc w:val="both"/>
        <w:rPr>
          <w:rFonts w:ascii="仿宋" w:hAnsi="仿宋" w:eastAsia="仿宋" w:cs="仿宋"/>
          <w:sz w:val="28"/>
          <w:szCs w:val="28"/>
        </w:rPr>
      </w:pPr>
      <w:r>
        <w:rPr>
          <w:rFonts w:ascii="仿宋" w:hAnsi="仿宋" w:eastAsia="仿宋" w:cs="仿宋"/>
          <w:b/>
          <w:bCs/>
          <w:spacing w:val="-2"/>
          <w:sz w:val="28"/>
          <w:szCs w:val="28"/>
        </w:rPr>
        <w:t>第三十一条</w:t>
      </w:r>
      <w:r>
        <w:rPr>
          <w:rFonts w:ascii="仿宋" w:hAnsi="仿宋" w:eastAsia="仿宋" w:cs="仿宋"/>
          <w:spacing w:val="-2"/>
          <w:sz w:val="28"/>
          <w:szCs w:val="28"/>
        </w:rPr>
        <w:t xml:space="preserve"> 本基金会根据章程规定的宗旨和公益活动的业务范</w:t>
      </w:r>
      <w:r>
        <w:rPr>
          <w:rFonts w:ascii="仿宋" w:hAnsi="仿宋" w:eastAsia="仿宋" w:cs="仿宋"/>
          <w:spacing w:val="16"/>
          <w:sz w:val="28"/>
          <w:szCs w:val="28"/>
        </w:rPr>
        <w:t xml:space="preserve"> </w:t>
      </w:r>
      <w:r>
        <w:rPr>
          <w:rFonts w:ascii="仿宋" w:hAnsi="仿宋" w:eastAsia="仿宋" w:cs="仿宋"/>
          <w:spacing w:val="-4"/>
          <w:sz w:val="28"/>
          <w:szCs w:val="28"/>
        </w:rPr>
        <w:t>围使用财产；捐赠协议明确了具体使用方式的捐赠，根据捐赠协议的</w:t>
      </w:r>
      <w:r>
        <w:rPr>
          <w:rFonts w:ascii="仿宋" w:hAnsi="仿宋" w:eastAsia="仿宋" w:cs="仿宋"/>
          <w:spacing w:val="4"/>
          <w:sz w:val="28"/>
          <w:szCs w:val="28"/>
        </w:rPr>
        <w:t xml:space="preserve"> </w:t>
      </w:r>
      <w:r>
        <w:rPr>
          <w:rFonts w:ascii="仿宋" w:hAnsi="仿宋" w:eastAsia="仿宋" w:cs="仿宋"/>
          <w:spacing w:val="-4"/>
          <w:sz w:val="28"/>
          <w:szCs w:val="28"/>
        </w:rPr>
        <w:t>约定使用。</w:t>
      </w:r>
    </w:p>
    <w:p w14:paraId="1172ADAA">
      <w:pPr>
        <w:spacing w:before="208" w:line="354" w:lineRule="auto"/>
        <w:ind w:left="61" w:right="76" w:firstLine="531"/>
        <w:rPr>
          <w:rFonts w:ascii="仿宋" w:hAnsi="仿宋" w:eastAsia="仿宋" w:cs="仿宋"/>
          <w:sz w:val="28"/>
          <w:szCs w:val="28"/>
        </w:rPr>
      </w:pPr>
      <w:r>
        <w:rPr>
          <w:rFonts w:ascii="仿宋" w:hAnsi="仿宋" w:eastAsia="仿宋" w:cs="仿宋"/>
          <w:spacing w:val="-4"/>
          <w:sz w:val="28"/>
          <w:szCs w:val="28"/>
        </w:rPr>
        <w:t>接受捐赠的物资无法用于符合本基金会宗旨的用途时，基金</w:t>
      </w:r>
      <w:r>
        <w:rPr>
          <w:rFonts w:ascii="仿宋" w:hAnsi="仿宋" w:eastAsia="仿宋" w:cs="仿宋"/>
          <w:spacing w:val="-5"/>
          <w:sz w:val="28"/>
          <w:szCs w:val="28"/>
        </w:rPr>
        <w:t>会可</w:t>
      </w:r>
      <w:r>
        <w:rPr>
          <w:rFonts w:ascii="仿宋" w:hAnsi="仿宋" w:eastAsia="仿宋" w:cs="仿宋"/>
          <w:sz w:val="28"/>
          <w:szCs w:val="28"/>
        </w:rPr>
        <w:t xml:space="preserve"> </w:t>
      </w:r>
      <w:r>
        <w:rPr>
          <w:rFonts w:ascii="仿宋" w:hAnsi="仿宋" w:eastAsia="仿宋" w:cs="仿宋"/>
          <w:spacing w:val="-3"/>
          <w:sz w:val="28"/>
          <w:szCs w:val="28"/>
        </w:rPr>
        <w:t>以依法拍卖或者变卖，所得收入用于捐赠目的。</w:t>
      </w:r>
    </w:p>
    <w:p w14:paraId="4894CF98">
      <w:pPr>
        <w:spacing w:before="208" w:line="223" w:lineRule="auto"/>
        <w:ind w:left="603"/>
        <w:rPr>
          <w:rFonts w:ascii="仿宋" w:hAnsi="仿宋" w:eastAsia="仿宋" w:cs="仿宋"/>
          <w:sz w:val="28"/>
          <w:szCs w:val="28"/>
        </w:rPr>
      </w:pPr>
      <w:r>
        <w:rPr>
          <w:rFonts w:ascii="仿宋" w:hAnsi="仿宋" w:eastAsia="仿宋" w:cs="仿宋"/>
          <w:b/>
          <w:bCs/>
          <w:spacing w:val="-3"/>
          <w:sz w:val="28"/>
          <w:szCs w:val="28"/>
        </w:rPr>
        <w:t>第三十二条</w:t>
      </w:r>
      <w:r>
        <w:rPr>
          <w:rFonts w:ascii="仿宋" w:hAnsi="仿宋" w:eastAsia="仿宋" w:cs="仿宋"/>
          <w:spacing w:val="-3"/>
          <w:sz w:val="28"/>
          <w:szCs w:val="28"/>
        </w:rPr>
        <w:t xml:space="preserve"> 本基金会财产主要用于：</w:t>
      </w:r>
    </w:p>
    <w:p w14:paraId="73456D0C">
      <w:pPr>
        <w:spacing w:line="288" w:lineRule="auto"/>
        <w:rPr>
          <w:rFonts w:ascii="Arial"/>
          <w:sz w:val="21"/>
        </w:rPr>
      </w:pPr>
    </w:p>
    <w:p w14:paraId="679DD1FB">
      <w:pPr>
        <w:spacing w:before="92" w:line="296" w:lineRule="auto"/>
        <w:ind w:left="32" w:right="263" w:firstLine="559"/>
        <w:rPr>
          <w:rFonts w:ascii="仿宋" w:hAnsi="仿宋" w:eastAsia="仿宋" w:cs="仿宋"/>
          <w:sz w:val="28"/>
          <w:szCs w:val="28"/>
        </w:rPr>
      </w:pPr>
      <w:r>
        <w:rPr>
          <w:rFonts w:ascii="仿宋" w:hAnsi="仿宋" w:eastAsia="仿宋" w:cs="仿宋"/>
          <w:spacing w:val="-1"/>
          <w:sz w:val="28"/>
          <w:szCs w:val="28"/>
        </w:rPr>
        <w:t>（一）资助和开展与保护青海湖生态环境相关的各类公益项目</w:t>
      </w:r>
      <w:r>
        <w:rPr>
          <w:rFonts w:ascii="仿宋" w:hAnsi="仿宋" w:eastAsia="仿宋" w:cs="仿宋"/>
          <w:spacing w:val="7"/>
          <w:sz w:val="28"/>
          <w:szCs w:val="28"/>
        </w:rPr>
        <w:t xml:space="preserve"> </w:t>
      </w:r>
      <w:r>
        <w:rPr>
          <w:rFonts w:ascii="仿宋" w:hAnsi="仿宋" w:eastAsia="仿宋" w:cs="仿宋"/>
          <w:spacing w:val="-3"/>
          <w:sz w:val="28"/>
          <w:szCs w:val="28"/>
        </w:rPr>
        <w:t>和公益活动；</w:t>
      </w:r>
    </w:p>
    <w:p w14:paraId="2007DA47">
      <w:pPr>
        <w:spacing w:line="290" w:lineRule="auto"/>
        <w:rPr>
          <w:rFonts w:ascii="Arial"/>
          <w:sz w:val="21"/>
        </w:rPr>
      </w:pPr>
    </w:p>
    <w:p w14:paraId="0466CC52">
      <w:pPr>
        <w:spacing w:before="91" w:line="222" w:lineRule="auto"/>
        <w:ind w:left="592"/>
        <w:rPr>
          <w:rFonts w:ascii="仿宋" w:hAnsi="仿宋" w:eastAsia="仿宋" w:cs="仿宋"/>
          <w:sz w:val="28"/>
          <w:szCs w:val="28"/>
        </w:rPr>
      </w:pPr>
      <w:r>
        <w:rPr>
          <w:rFonts w:ascii="仿宋" w:hAnsi="仿宋" w:eastAsia="仿宋" w:cs="仿宋"/>
          <w:spacing w:val="-1"/>
          <w:sz w:val="28"/>
          <w:szCs w:val="28"/>
        </w:rPr>
        <w:t>（二）必要的行政办公和人员工资福利支出；</w:t>
      </w:r>
    </w:p>
    <w:p w14:paraId="13CC3075">
      <w:pPr>
        <w:spacing w:line="290" w:lineRule="auto"/>
        <w:rPr>
          <w:rFonts w:ascii="Arial"/>
          <w:sz w:val="21"/>
        </w:rPr>
      </w:pPr>
    </w:p>
    <w:p w14:paraId="404F88F1">
      <w:pPr>
        <w:spacing w:before="92" w:line="222" w:lineRule="auto"/>
        <w:ind w:left="592"/>
        <w:rPr>
          <w:rFonts w:ascii="仿宋" w:hAnsi="仿宋" w:eastAsia="仿宋" w:cs="仿宋"/>
          <w:sz w:val="28"/>
          <w:szCs w:val="28"/>
        </w:rPr>
      </w:pPr>
      <w:r>
        <w:rPr>
          <w:rFonts w:ascii="仿宋" w:hAnsi="仿宋" w:eastAsia="仿宋" w:cs="仿宋"/>
          <w:spacing w:val="-2"/>
          <w:sz w:val="28"/>
          <w:szCs w:val="28"/>
        </w:rPr>
        <w:t>（三）其他符合业务范围规定的支出。</w:t>
      </w:r>
    </w:p>
    <w:p w14:paraId="6685666C">
      <w:pPr>
        <w:spacing w:line="293" w:lineRule="auto"/>
        <w:rPr>
          <w:rFonts w:ascii="Arial"/>
          <w:sz w:val="21"/>
        </w:rPr>
      </w:pPr>
    </w:p>
    <w:p w14:paraId="4766C70F">
      <w:pPr>
        <w:spacing w:before="91" w:line="223" w:lineRule="auto"/>
        <w:ind w:left="603"/>
        <w:rPr>
          <w:rFonts w:ascii="仿宋" w:hAnsi="仿宋" w:eastAsia="仿宋" w:cs="仿宋"/>
          <w:sz w:val="28"/>
          <w:szCs w:val="28"/>
        </w:rPr>
      </w:pPr>
      <w:r>
        <w:rPr>
          <w:rFonts w:ascii="仿宋" w:hAnsi="仿宋" w:eastAsia="仿宋" w:cs="仿宋"/>
          <w:b/>
          <w:bCs/>
          <w:spacing w:val="-2"/>
          <w:sz w:val="28"/>
          <w:szCs w:val="28"/>
        </w:rPr>
        <w:t>第三十三条</w:t>
      </w:r>
      <w:r>
        <w:rPr>
          <w:rFonts w:ascii="仿宋" w:hAnsi="仿宋" w:eastAsia="仿宋" w:cs="仿宋"/>
          <w:spacing w:val="-2"/>
          <w:sz w:val="28"/>
          <w:szCs w:val="28"/>
        </w:rPr>
        <w:t xml:space="preserve"> 本基金会的重大捐赠、投资活动是指：</w:t>
      </w:r>
    </w:p>
    <w:p w14:paraId="45DB3C8E">
      <w:pPr>
        <w:spacing w:line="223" w:lineRule="auto"/>
        <w:rPr>
          <w:rFonts w:ascii="仿宋" w:hAnsi="仿宋" w:eastAsia="仿宋" w:cs="仿宋"/>
          <w:sz w:val="28"/>
          <w:szCs w:val="28"/>
        </w:rPr>
        <w:sectPr>
          <w:footerReference r:id="rId14" w:type="default"/>
          <w:pgSz w:w="11906" w:h="16839"/>
          <w:pgMar w:top="400" w:right="1723" w:bottom="1151" w:left="1785" w:header="0" w:footer="989" w:gutter="0"/>
          <w:pgNumType w:fmt="decimal"/>
          <w:cols w:space="720" w:num="1"/>
        </w:sectPr>
      </w:pPr>
    </w:p>
    <w:p w14:paraId="082757D2">
      <w:pPr>
        <w:spacing w:line="286" w:lineRule="auto"/>
        <w:rPr>
          <w:rFonts w:ascii="Arial"/>
          <w:sz w:val="21"/>
        </w:rPr>
      </w:pPr>
    </w:p>
    <w:p w14:paraId="208D7837">
      <w:pPr>
        <w:spacing w:line="287" w:lineRule="auto"/>
        <w:rPr>
          <w:rFonts w:ascii="Arial"/>
          <w:sz w:val="21"/>
        </w:rPr>
      </w:pPr>
    </w:p>
    <w:p w14:paraId="40248875">
      <w:pPr>
        <w:spacing w:line="287" w:lineRule="auto"/>
        <w:rPr>
          <w:rFonts w:ascii="Arial"/>
          <w:sz w:val="21"/>
        </w:rPr>
      </w:pPr>
    </w:p>
    <w:p w14:paraId="49624DB7">
      <w:pPr>
        <w:spacing w:line="287" w:lineRule="auto"/>
        <w:rPr>
          <w:rFonts w:ascii="Arial"/>
          <w:sz w:val="21"/>
        </w:rPr>
      </w:pPr>
    </w:p>
    <w:p w14:paraId="67C1F36C">
      <w:pPr>
        <w:spacing w:before="91" w:line="223" w:lineRule="auto"/>
        <w:ind w:left="592"/>
        <w:rPr>
          <w:rFonts w:ascii="仿宋" w:hAnsi="仿宋" w:eastAsia="仿宋" w:cs="仿宋"/>
          <w:sz w:val="28"/>
          <w:szCs w:val="28"/>
        </w:rPr>
      </w:pPr>
      <w:bookmarkStart w:id="15" w:name="bookmark19"/>
      <w:bookmarkEnd w:id="15"/>
      <w:r>
        <w:rPr>
          <w:rFonts w:ascii="仿宋" w:hAnsi="仿宋" w:eastAsia="仿宋" w:cs="仿宋"/>
          <w:spacing w:val="-3"/>
          <w:sz w:val="28"/>
          <w:szCs w:val="28"/>
        </w:rPr>
        <w:t>（一）接受超过</w:t>
      </w:r>
      <w:r>
        <w:rPr>
          <w:rFonts w:ascii="仿宋" w:hAnsi="仿宋" w:eastAsia="仿宋" w:cs="仿宋"/>
          <w:spacing w:val="-48"/>
          <w:sz w:val="28"/>
          <w:szCs w:val="28"/>
        </w:rPr>
        <w:t xml:space="preserve"> </w:t>
      </w:r>
      <w:r>
        <w:rPr>
          <w:rFonts w:ascii="仿宋" w:hAnsi="仿宋" w:eastAsia="仿宋" w:cs="仿宋"/>
          <w:spacing w:val="-3"/>
          <w:sz w:val="28"/>
          <w:szCs w:val="28"/>
        </w:rPr>
        <w:t>50</w:t>
      </w:r>
      <w:r>
        <w:rPr>
          <w:rFonts w:ascii="仿宋" w:hAnsi="仿宋" w:eastAsia="仿宋" w:cs="仿宋"/>
          <w:spacing w:val="-51"/>
          <w:sz w:val="28"/>
          <w:szCs w:val="28"/>
        </w:rPr>
        <w:t xml:space="preserve"> </w:t>
      </w:r>
      <w:r>
        <w:rPr>
          <w:rFonts w:ascii="仿宋" w:hAnsi="仿宋" w:eastAsia="仿宋" w:cs="仿宋"/>
          <w:spacing w:val="-3"/>
          <w:sz w:val="28"/>
          <w:szCs w:val="28"/>
        </w:rPr>
        <w:t>万元人民币的捐赠活动；</w:t>
      </w:r>
    </w:p>
    <w:p w14:paraId="7A3F99D8">
      <w:pPr>
        <w:spacing w:line="291" w:lineRule="auto"/>
        <w:rPr>
          <w:rFonts w:ascii="Arial"/>
          <w:sz w:val="21"/>
        </w:rPr>
      </w:pPr>
    </w:p>
    <w:p w14:paraId="559CE04E">
      <w:pPr>
        <w:spacing w:before="91" w:line="223" w:lineRule="auto"/>
        <w:ind w:left="592"/>
        <w:rPr>
          <w:rFonts w:ascii="仿宋" w:hAnsi="仿宋" w:eastAsia="仿宋" w:cs="仿宋"/>
          <w:sz w:val="28"/>
          <w:szCs w:val="28"/>
        </w:rPr>
      </w:pPr>
      <w:r>
        <w:rPr>
          <w:rFonts w:ascii="仿宋" w:hAnsi="仿宋" w:eastAsia="仿宋" w:cs="仿宋"/>
          <w:spacing w:val="-3"/>
          <w:sz w:val="28"/>
          <w:szCs w:val="28"/>
        </w:rPr>
        <w:t>（二）投资额超过</w:t>
      </w:r>
      <w:r>
        <w:rPr>
          <w:rFonts w:ascii="仿宋" w:hAnsi="仿宋" w:eastAsia="仿宋" w:cs="仿宋"/>
          <w:spacing w:val="-44"/>
          <w:sz w:val="28"/>
          <w:szCs w:val="28"/>
        </w:rPr>
        <w:t xml:space="preserve"> </w:t>
      </w:r>
      <w:r>
        <w:rPr>
          <w:rFonts w:ascii="仿宋" w:hAnsi="仿宋" w:eastAsia="仿宋" w:cs="仿宋"/>
          <w:spacing w:val="-3"/>
          <w:sz w:val="28"/>
          <w:szCs w:val="28"/>
        </w:rPr>
        <w:t>50</w:t>
      </w:r>
      <w:r>
        <w:rPr>
          <w:rFonts w:ascii="仿宋" w:hAnsi="仿宋" w:eastAsia="仿宋" w:cs="仿宋"/>
          <w:spacing w:val="-51"/>
          <w:sz w:val="28"/>
          <w:szCs w:val="28"/>
        </w:rPr>
        <w:t xml:space="preserve"> </w:t>
      </w:r>
      <w:r>
        <w:rPr>
          <w:rFonts w:ascii="仿宋" w:hAnsi="仿宋" w:eastAsia="仿宋" w:cs="仿宋"/>
          <w:spacing w:val="-3"/>
          <w:sz w:val="28"/>
          <w:szCs w:val="28"/>
        </w:rPr>
        <w:t>万元人民币的投资活动；</w:t>
      </w:r>
    </w:p>
    <w:p w14:paraId="03DB3CB0">
      <w:pPr>
        <w:spacing w:line="289" w:lineRule="auto"/>
        <w:rPr>
          <w:rFonts w:ascii="Arial"/>
          <w:sz w:val="21"/>
        </w:rPr>
      </w:pPr>
    </w:p>
    <w:p w14:paraId="6D527AE9">
      <w:pPr>
        <w:spacing w:before="91" w:line="222" w:lineRule="auto"/>
        <w:jc w:val="right"/>
        <w:rPr>
          <w:rFonts w:ascii="仿宋" w:hAnsi="仿宋" w:eastAsia="仿宋" w:cs="仿宋"/>
          <w:sz w:val="28"/>
          <w:szCs w:val="28"/>
        </w:rPr>
      </w:pPr>
      <w:r>
        <w:rPr>
          <w:rFonts w:ascii="仿宋" w:hAnsi="仿宋" w:eastAsia="仿宋" w:cs="仿宋"/>
          <w:spacing w:val="-2"/>
          <w:sz w:val="28"/>
          <w:szCs w:val="28"/>
        </w:rPr>
        <w:t>（三）理事会认为对本基金会影响重大的其他捐赠、投资活动。</w:t>
      </w:r>
    </w:p>
    <w:p w14:paraId="63031D2A">
      <w:pPr>
        <w:spacing w:line="289" w:lineRule="auto"/>
        <w:rPr>
          <w:rFonts w:ascii="Arial"/>
          <w:sz w:val="21"/>
        </w:rPr>
      </w:pPr>
    </w:p>
    <w:p w14:paraId="3EB50BA8">
      <w:pPr>
        <w:spacing w:before="91" w:line="355" w:lineRule="auto"/>
        <w:ind w:left="33" w:right="96" w:firstLine="570"/>
        <w:rPr>
          <w:rFonts w:ascii="仿宋" w:hAnsi="仿宋" w:eastAsia="仿宋" w:cs="仿宋"/>
          <w:sz w:val="28"/>
          <w:szCs w:val="28"/>
        </w:rPr>
      </w:pPr>
      <w:r>
        <w:rPr>
          <w:rFonts w:ascii="仿宋" w:hAnsi="仿宋" w:eastAsia="仿宋" w:cs="仿宋"/>
          <w:b/>
          <w:bCs/>
          <w:spacing w:val="-2"/>
          <w:sz w:val="28"/>
          <w:szCs w:val="28"/>
        </w:rPr>
        <w:t>第三十四条</w:t>
      </w:r>
      <w:r>
        <w:rPr>
          <w:rFonts w:ascii="仿宋" w:hAnsi="仿宋" w:eastAsia="仿宋" w:cs="仿宋"/>
          <w:spacing w:val="-2"/>
          <w:sz w:val="28"/>
          <w:szCs w:val="28"/>
        </w:rPr>
        <w:t xml:space="preserve"> 本基金会按照合法、安全、有效的原则实现基金的</w:t>
      </w:r>
      <w:r>
        <w:rPr>
          <w:rFonts w:ascii="仿宋" w:hAnsi="仿宋" w:eastAsia="仿宋" w:cs="仿宋"/>
          <w:spacing w:val="16"/>
          <w:sz w:val="28"/>
          <w:szCs w:val="28"/>
        </w:rPr>
        <w:t xml:space="preserve"> </w:t>
      </w:r>
      <w:r>
        <w:rPr>
          <w:rFonts w:ascii="仿宋" w:hAnsi="仿宋" w:eastAsia="仿宋" w:cs="仿宋"/>
          <w:spacing w:val="-3"/>
          <w:sz w:val="28"/>
          <w:szCs w:val="28"/>
        </w:rPr>
        <w:t>保值、增值。</w:t>
      </w:r>
    </w:p>
    <w:p w14:paraId="244FA3A9">
      <w:pPr>
        <w:spacing w:before="206" w:line="355" w:lineRule="auto"/>
        <w:ind w:left="39" w:right="155" w:firstLine="564"/>
        <w:rPr>
          <w:rFonts w:ascii="仿宋" w:hAnsi="仿宋" w:eastAsia="仿宋" w:cs="仿宋"/>
          <w:sz w:val="28"/>
          <w:szCs w:val="28"/>
        </w:rPr>
      </w:pPr>
      <w:r>
        <w:rPr>
          <w:rFonts w:ascii="仿宋" w:hAnsi="仿宋" w:eastAsia="仿宋" w:cs="仿宋"/>
          <w:b/>
          <w:bCs/>
          <w:spacing w:val="-4"/>
          <w:sz w:val="28"/>
          <w:szCs w:val="28"/>
        </w:rPr>
        <w:t>第三十五条</w:t>
      </w:r>
      <w:r>
        <w:rPr>
          <w:rFonts w:ascii="仿宋" w:hAnsi="仿宋" w:eastAsia="仿宋" w:cs="仿宋"/>
          <w:spacing w:val="-4"/>
          <w:sz w:val="28"/>
          <w:szCs w:val="28"/>
        </w:rPr>
        <w:t xml:space="preserve"> 本基金会每年用于从事章程规定的公益事业支出，</w:t>
      </w:r>
      <w:r>
        <w:rPr>
          <w:rFonts w:ascii="仿宋" w:hAnsi="仿宋" w:eastAsia="仿宋" w:cs="仿宋"/>
          <w:spacing w:val="13"/>
          <w:sz w:val="28"/>
          <w:szCs w:val="28"/>
        </w:rPr>
        <w:t xml:space="preserve"> </w:t>
      </w:r>
      <w:r>
        <w:rPr>
          <w:rFonts w:ascii="仿宋" w:hAnsi="仿宋" w:eastAsia="仿宋" w:cs="仿宋"/>
          <w:spacing w:val="3"/>
          <w:sz w:val="28"/>
          <w:szCs w:val="28"/>
        </w:rPr>
        <w:t>不得低于上一年基金余额的8%。</w:t>
      </w:r>
    </w:p>
    <w:p w14:paraId="21439C79">
      <w:pPr>
        <w:spacing w:before="204" w:line="356" w:lineRule="auto"/>
        <w:ind w:left="49" w:right="243" w:firstLine="543"/>
        <w:rPr>
          <w:rFonts w:ascii="仿宋" w:hAnsi="仿宋" w:eastAsia="仿宋" w:cs="仿宋"/>
          <w:sz w:val="28"/>
          <w:szCs w:val="28"/>
        </w:rPr>
      </w:pPr>
      <w:r>
        <w:rPr>
          <w:rFonts w:ascii="仿宋" w:hAnsi="仿宋" w:eastAsia="仿宋" w:cs="仿宋"/>
          <w:spacing w:val="-1"/>
          <w:sz w:val="28"/>
          <w:szCs w:val="28"/>
        </w:rPr>
        <w:t>本基金会工作人员工资福利和行政办公支出不超过当年总支出</w:t>
      </w:r>
      <w:r>
        <w:rPr>
          <w:rFonts w:ascii="仿宋" w:hAnsi="仿宋" w:eastAsia="仿宋" w:cs="仿宋"/>
          <w:spacing w:val="6"/>
          <w:sz w:val="28"/>
          <w:szCs w:val="28"/>
        </w:rPr>
        <w:t xml:space="preserve"> </w:t>
      </w:r>
      <w:r>
        <w:rPr>
          <w:rFonts w:ascii="仿宋" w:hAnsi="仿宋" w:eastAsia="仿宋" w:cs="仿宋"/>
          <w:spacing w:val="-13"/>
          <w:sz w:val="28"/>
          <w:szCs w:val="28"/>
        </w:rPr>
        <w:t>的</w:t>
      </w:r>
      <w:r>
        <w:rPr>
          <w:rFonts w:ascii="仿宋" w:hAnsi="仿宋" w:eastAsia="仿宋" w:cs="仿宋"/>
          <w:spacing w:val="-40"/>
          <w:sz w:val="28"/>
          <w:szCs w:val="28"/>
        </w:rPr>
        <w:t xml:space="preserve"> </w:t>
      </w:r>
      <w:r>
        <w:rPr>
          <w:rFonts w:ascii="仿宋" w:hAnsi="仿宋" w:eastAsia="仿宋" w:cs="仿宋"/>
          <w:spacing w:val="-13"/>
          <w:sz w:val="28"/>
          <w:szCs w:val="28"/>
        </w:rPr>
        <w:t>10%。</w:t>
      </w:r>
    </w:p>
    <w:p w14:paraId="7F2DFC07">
      <w:pPr>
        <w:spacing w:before="201" w:line="353" w:lineRule="auto"/>
        <w:ind w:left="33" w:right="96" w:firstLine="570"/>
        <w:rPr>
          <w:rFonts w:ascii="仿宋" w:hAnsi="仿宋" w:eastAsia="仿宋" w:cs="仿宋"/>
          <w:sz w:val="28"/>
          <w:szCs w:val="28"/>
        </w:rPr>
      </w:pPr>
      <w:r>
        <w:rPr>
          <w:rFonts w:ascii="仿宋" w:hAnsi="仿宋" w:eastAsia="仿宋" w:cs="仿宋"/>
          <w:b/>
          <w:bCs/>
          <w:spacing w:val="-2"/>
          <w:sz w:val="28"/>
          <w:szCs w:val="28"/>
        </w:rPr>
        <w:t>第三十六条</w:t>
      </w:r>
      <w:r>
        <w:rPr>
          <w:rFonts w:ascii="仿宋" w:hAnsi="仿宋" w:eastAsia="仿宋" w:cs="仿宋"/>
          <w:spacing w:val="-2"/>
          <w:sz w:val="28"/>
          <w:szCs w:val="28"/>
        </w:rPr>
        <w:t xml:space="preserve"> 本基金会开展公益资助项目，应当向社会公开所开</w:t>
      </w:r>
      <w:r>
        <w:rPr>
          <w:rFonts w:ascii="仿宋" w:hAnsi="仿宋" w:eastAsia="仿宋" w:cs="仿宋"/>
          <w:spacing w:val="16"/>
          <w:sz w:val="28"/>
          <w:szCs w:val="28"/>
        </w:rPr>
        <w:t xml:space="preserve"> </w:t>
      </w:r>
      <w:r>
        <w:rPr>
          <w:rFonts w:ascii="仿宋" w:hAnsi="仿宋" w:eastAsia="仿宋" w:cs="仿宋"/>
          <w:spacing w:val="-1"/>
          <w:sz w:val="28"/>
          <w:szCs w:val="28"/>
        </w:rPr>
        <w:t>展的公益资助项目种类以及申请、评审程序。</w:t>
      </w:r>
    </w:p>
    <w:p w14:paraId="7D672E99">
      <w:pPr>
        <w:spacing w:before="208" w:line="360" w:lineRule="auto"/>
        <w:ind w:left="32" w:right="55" w:firstLine="571"/>
        <w:jc w:val="both"/>
        <w:rPr>
          <w:rFonts w:ascii="仿宋" w:hAnsi="仿宋" w:eastAsia="仿宋" w:cs="仿宋"/>
          <w:sz w:val="28"/>
          <w:szCs w:val="28"/>
        </w:rPr>
      </w:pPr>
      <w:r>
        <w:rPr>
          <w:rFonts w:ascii="仿宋" w:hAnsi="仿宋" w:eastAsia="仿宋" w:cs="仿宋"/>
          <w:b/>
          <w:bCs/>
          <w:spacing w:val="-2"/>
          <w:sz w:val="28"/>
          <w:szCs w:val="28"/>
        </w:rPr>
        <w:t>第三十七条</w:t>
      </w:r>
      <w:r>
        <w:rPr>
          <w:rFonts w:ascii="仿宋" w:hAnsi="仿宋" w:eastAsia="仿宋" w:cs="仿宋"/>
          <w:spacing w:val="-2"/>
          <w:sz w:val="28"/>
          <w:szCs w:val="28"/>
        </w:rPr>
        <w:t xml:space="preserve"> 捐赠人有权向本基金会查询捐赠财产的使用、管理</w:t>
      </w:r>
      <w:r>
        <w:rPr>
          <w:rFonts w:ascii="仿宋" w:hAnsi="仿宋" w:eastAsia="仿宋" w:cs="仿宋"/>
          <w:spacing w:val="16"/>
          <w:sz w:val="28"/>
          <w:szCs w:val="28"/>
        </w:rPr>
        <w:t xml:space="preserve"> </w:t>
      </w:r>
      <w:r>
        <w:rPr>
          <w:rFonts w:ascii="仿宋" w:hAnsi="仿宋" w:eastAsia="仿宋" w:cs="仿宋"/>
          <w:spacing w:val="-4"/>
          <w:sz w:val="28"/>
          <w:szCs w:val="28"/>
        </w:rPr>
        <w:t>情况，并提出意见和建议。对于捐赠人的查询，基金会应当及时如实</w:t>
      </w:r>
      <w:r>
        <w:rPr>
          <w:rFonts w:ascii="仿宋" w:hAnsi="仿宋" w:eastAsia="仿宋" w:cs="仿宋"/>
          <w:spacing w:val="7"/>
          <w:sz w:val="28"/>
          <w:szCs w:val="28"/>
        </w:rPr>
        <w:t xml:space="preserve"> </w:t>
      </w:r>
      <w:r>
        <w:rPr>
          <w:rFonts w:ascii="仿宋" w:hAnsi="仿宋" w:eastAsia="仿宋" w:cs="仿宋"/>
          <w:spacing w:val="-6"/>
          <w:sz w:val="28"/>
          <w:szCs w:val="28"/>
        </w:rPr>
        <w:t>答复。</w:t>
      </w:r>
    </w:p>
    <w:p w14:paraId="0125020C">
      <w:pPr>
        <w:spacing w:before="206" w:line="353" w:lineRule="auto"/>
        <w:ind w:left="30" w:right="55" w:firstLine="562"/>
        <w:rPr>
          <w:rFonts w:ascii="仿宋" w:hAnsi="仿宋" w:eastAsia="仿宋" w:cs="仿宋"/>
          <w:sz w:val="28"/>
          <w:szCs w:val="28"/>
        </w:rPr>
      </w:pPr>
      <w:r>
        <w:rPr>
          <w:rFonts w:ascii="仿宋" w:hAnsi="仿宋" w:eastAsia="仿宋" w:cs="仿宋"/>
          <w:spacing w:val="-4"/>
          <w:sz w:val="28"/>
          <w:szCs w:val="28"/>
        </w:rPr>
        <w:t>本基金会违反捐赠协议使用捐赠财产的，捐赠人有权要求基</w:t>
      </w:r>
      <w:r>
        <w:rPr>
          <w:rFonts w:ascii="仿宋" w:hAnsi="仿宋" w:eastAsia="仿宋" w:cs="仿宋"/>
          <w:spacing w:val="-5"/>
          <w:sz w:val="28"/>
          <w:szCs w:val="28"/>
        </w:rPr>
        <w:t>金会</w:t>
      </w:r>
      <w:r>
        <w:rPr>
          <w:rFonts w:ascii="仿宋" w:hAnsi="仿宋" w:eastAsia="仿宋" w:cs="仿宋"/>
          <w:sz w:val="28"/>
          <w:szCs w:val="28"/>
        </w:rPr>
        <w:t xml:space="preserve"> </w:t>
      </w:r>
      <w:r>
        <w:rPr>
          <w:rFonts w:ascii="仿宋" w:hAnsi="仿宋" w:eastAsia="仿宋" w:cs="仿宋"/>
          <w:spacing w:val="-1"/>
          <w:sz w:val="28"/>
          <w:szCs w:val="28"/>
        </w:rPr>
        <w:t>遵守捐赠协议或者向人民法院申请撤销捐赠行为、解除捐赠协议。</w:t>
      </w:r>
    </w:p>
    <w:p w14:paraId="3F4F20A0">
      <w:pPr>
        <w:spacing w:before="210" w:line="355" w:lineRule="auto"/>
        <w:ind w:left="46" w:right="142" w:firstLine="556"/>
        <w:rPr>
          <w:rFonts w:ascii="仿宋" w:hAnsi="仿宋" w:eastAsia="仿宋" w:cs="仿宋"/>
          <w:sz w:val="28"/>
          <w:szCs w:val="28"/>
        </w:rPr>
      </w:pPr>
      <w:r>
        <w:rPr>
          <w:rFonts w:ascii="仿宋" w:hAnsi="仿宋" w:eastAsia="仿宋" w:cs="仿宋"/>
          <w:b/>
          <w:bCs/>
          <w:spacing w:val="-3"/>
          <w:sz w:val="28"/>
          <w:szCs w:val="28"/>
        </w:rPr>
        <w:t>第三十八条</w:t>
      </w:r>
      <w:r>
        <w:rPr>
          <w:rFonts w:ascii="仿宋" w:hAnsi="仿宋" w:eastAsia="仿宋" w:cs="仿宋"/>
          <w:spacing w:val="-3"/>
          <w:sz w:val="28"/>
          <w:szCs w:val="28"/>
        </w:rPr>
        <w:t xml:space="preserve"> 本基金会可以与受助人签订协议，约定资助方</w:t>
      </w:r>
      <w:r>
        <w:rPr>
          <w:rFonts w:ascii="仿宋" w:hAnsi="仿宋" w:eastAsia="仿宋" w:cs="仿宋"/>
          <w:spacing w:val="-4"/>
          <w:sz w:val="28"/>
          <w:szCs w:val="28"/>
        </w:rPr>
        <w:t>式、</w:t>
      </w:r>
      <w:r>
        <w:rPr>
          <w:rFonts w:ascii="仿宋" w:hAnsi="仿宋" w:eastAsia="仿宋" w:cs="仿宋"/>
          <w:sz w:val="28"/>
          <w:szCs w:val="28"/>
        </w:rPr>
        <w:t xml:space="preserve"> </w:t>
      </w:r>
      <w:r>
        <w:rPr>
          <w:rFonts w:ascii="仿宋" w:hAnsi="仿宋" w:eastAsia="仿宋" w:cs="仿宋"/>
          <w:spacing w:val="-3"/>
          <w:sz w:val="28"/>
          <w:szCs w:val="28"/>
        </w:rPr>
        <w:t>资助数额以及资金用途和使用方式。</w:t>
      </w:r>
    </w:p>
    <w:p w14:paraId="2594E544">
      <w:pPr>
        <w:spacing w:before="205" w:line="353" w:lineRule="auto"/>
        <w:ind w:left="33" w:firstLine="559"/>
        <w:rPr>
          <w:rFonts w:ascii="仿宋" w:hAnsi="仿宋" w:eastAsia="仿宋" w:cs="仿宋"/>
          <w:sz w:val="28"/>
          <w:szCs w:val="28"/>
        </w:rPr>
      </w:pPr>
      <w:r>
        <w:rPr>
          <w:rFonts w:ascii="仿宋" w:hAnsi="仿宋" w:eastAsia="仿宋" w:cs="仿宋"/>
          <w:spacing w:val="-4"/>
          <w:sz w:val="28"/>
          <w:szCs w:val="28"/>
        </w:rPr>
        <w:t>本基金会有权对资助的使用情况进行监督。受助人未按协议</w:t>
      </w:r>
      <w:r>
        <w:rPr>
          <w:rFonts w:ascii="仿宋" w:hAnsi="仿宋" w:eastAsia="仿宋" w:cs="仿宋"/>
          <w:spacing w:val="-5"/>
          <w:sz w:val="28"/>
          <w:szCs w:val="28"/>
        </w:rPr>
        <w:t>约定</w:t>
      </w:r>
      <w:r>
        <w:rPr>
          <w:rFonts w:ascii="仿宋" w:hAnsi="仿宋" w:eastAsia="仿宋" w:cs="仿宋"/>
          <w:sz w:val="28"/>
          <w:szCs w:val="28"/>
        </w:rPr>
        <w:t xml:space="preserve"> </w:t>
      </w:r>
      <w:r>
        <w:rPr>
          <w:rFonts w:ascii="仿宋" w:hAnsi="仿宋" w:eastAsia="仿宋" w:cs="仿宋"/>
          <w:spacing w:val="-2"/>
          <w:sz w:val="28"/>
          <w:szCs w:val="28"/>
        </w:rPr>
        <w:t>使用资助或者有其他违反协议情形的，本基金会有权解除资助协议。</w:t>
      </w:r>
    </w:p>
    <w:p w14:paraId="4DB9E82D">
      <w:pPr>
        <w:spacing w:line="353" w:lineRule="auto"/>
        <w:rPr>
          <w:rFonts w:ascii="仿宋" w:hAnsi="仿宋" w:eastAsia="仿宋" w:cs="仿宋"/>
          <w:sz w:val="28"/>
          <w:szCs w:val="28"/>
        </w:rPr>
        <w:sectPr>
          <w:footerReference r:id="rId15" w:type="default"/>
          <w:pgSz w:w="11906" w:h="16839"/>
          <w:pgMar w:top="400" w:right="1743" w:bottom="1151" w:left="1785" w:header="0" w:footer="989" w:gutter="0"/>
          <w:pgNumType w:fmt="decimal"/>
          <w:cols w:space="720" w:num="1"/>
        </w:sectPr>
      </w:pPr>
    </w:p>
    <w:p w14:paraId="15CE23A5">
      <w:pPr>
        <w:spacing w:line="286" w:lineRule="auto"/>
        <w:rPr>
          <w:rFonts w:ascii="Arial"/>
          <w:sz w:val="21"/>
        </w:rPr>
      </w:pPr>
    </w:p>
    <w:p w14:paraId="32655A19">
      <w:pPr>
        <w:spacing w:line="286" w:lineRule="auto"/>
        <w:rPr>
          <w:rFonts w:ascii="Arial"/>
          <w:sz w:val="21"/>
        </w:rPr>
      </w:pPr>
    </w:p>
    <w:p w14:paraId="2B466B93">
      <w:pPr>
        <w:spacing w:line="287" w:lineRule="auto"/>
        <w:rPr>
          <w:rFonts w:ascii="Arial"/>
          <w:sz w:val="21"/>
        </w:rPr>
      </w:pPr>
    </w:p>
    <w:p w14:paraId="7FE2C67D">
      <w:pPr>
        <w:spacing w:line="287" w:lineRule="auto"/>
        <w:rPr>
          <w:rFonts w:ascii="Arial"/>
          <w:sz w:val="21"/>
        </w:rPr>
      </w:pPr>
    </w:p>
    <w:p w14:paraId="6F6DA660">
      <w:pPr>
        <w:spacing w:before="91" w:line="360" w:lineRule="auto"/>
        <w:ind w:left="34" w:right="55" w:firstLine="569"/>
        <w:jc w:val="both"/>
        <w:rPr>
          <w:rFonts w:ascii="仿宋" w:hAnsi="仿宋" w:eastAsia="仿宋" w:cs="仿宋"/>
          <w:sz w:val="28"/>
          <w:szCs w:val="28"/>
        </w:rPr>
      </w:pPr>
      <w:r>
        <w:rPr>
          <w:rFonts w:ascii="仿宋" w:hAnsi="仿宋" w:eastAsia="仿宋" w:cs="仿宋"/>
          <w:b/>
          <w:bCs/>
          <w:spacing w:val="-2"/>
          <w:sz w:val="28"/>
          <w:szCs w:val="28"/>
        </w:rPr>
        <w:t>第三十九条</w:t>
      </w:r>
      <w:r>
        <w:rPr>
          <w:rFonts w:ascii="仿宋" w:hAnsi="仿宋" w:eastAsia="仿宋" w:cs="仿宋"/>
          <w:spacing w:val="-2"/>
          <w:sz w:val="28"/>
          <w:szCs w:val="28"/>
        </w:rPr>
        <w:t xml:space="preserve"> 本基金会执行《民间非营利组织会计制度》，依法</w:t>
      </w:r>
      <w:r>
        <w:rPr>
          <w:rFonts w:ascii="仿宋" w:hAnsi="仿宋" w:eastAsia="仿宋" w:cs="仿宋"/>
          <w:spacing w:val="16"/>
          <w:sz w:val="28"/>
          <w:szCs w:val="28"/>
        </w:rPr>
        <w:t xml:space="preserve"> </w:t>
      </w:r>
      <w:r>
        <w:rPr>
          <w:rFonts w:ascii="仿宋" w:hAnsi="仿宋" w:eastAsia="仿宋" w:cs="仿宋"/>
          <w:spacing w:val="-4"/>
          <w:sz w:val="28"/>
          <w:szCs w:val="28"/>
        </w:rPr>
        <w:t>进行会计核算、建立健全内部会计监督制度，保证会计资料合法、真</w:t>
      </w:r>
      <w:r>
        <w:rPr>
          <w:rFonts w:ascii="仿宋" w:hAnsi="仿宋" w:eastAsia="仿宋" w:cs="仿宋"/>
          <w:spacing w:val="4"/>
          <w:sz w:val="28"/>
          <w:szCs w:val="28"/>
        </w:rPr>
        <w:t xml:space="preserve"> </w:t>
      </w:r>
      <w:r>
        <w:rPr>
          <w:rFonts w:ascii="仿宋" w:hAnsi="仿宋" w:eastAsia="仿宋" w:cs="仿宋"/>
          <w:spacing w:val="-3"/>
          <w:sz w:val="28"/>
          <w:szCs w:val="28"/>
        </w:rPr>
        <w:t>实、准确、完整。</w:t>
      </w:r>
    </w:p>
    <w:p w14:paraId="012F34AA">
      <w:pPr>
        <w:spacing w:before="204" w:line="356" w:lineRule="auto"/>
        <w:ind w:left="40" w:right="55" w:firstLine="552"/>
        <w:rPr>
          <w:rFonts w:ascii="仿宋" w:hAnsi="仿宋" w:eastAsia="仿宋" w:cs="仿宋"/>
          <w:sz w:val="28"/>
          <w:szCs w:val="28"/>
        </w:rPr>
      </w:pPr>
      <w:r>
        <w:rPr>
          <w:rFonts w:ascii="仿宋" w:hAnsi="仿宋" w:eastAsia="仿宋" w:cs="仿宋"/>
          <w:spacing w:val="-4"/>
          <w:sz w:val="28"/>
          <w:szCs w:val="28"/>
        </w:rPr>
        <w:t>本基金会接受税务、会计主管部门依法实施的税务监督和会</w:t>
      </w:r>
      <w:r>
        <w:rPr>
          <w:rFonts w:ascii="仿宋" w:hAnsi="仿宋" w:eastAsia="仿宋" w:cs="仿宋"/>
          <w:spacing w:val="-5"/>
          <w:sz w:val="28"/>
          <w:szCs w:val="28"/>
        </w:rPr>
        <w:t>计监</w:t>
      </w:r>
      <w:r>
        <w:rPr>
          <w:rFonts w:ascii="仿宋" w:hAnsi="仿宋" w:eastAsia="仿宋" w:cs="仿宋"/>
          <w:sz w:val="28"/>
          <w:szCs w:val="28"/>
        </w:rPr>
        <w:t xml:space="preserve"> </w:t>
      </w:r>
      <w:r>
        <w:rPr>
          <w:rFonts w:ascii="仿宋" w:hAnsi="仿宋" w:eastAsia="仿宋" w:cs="仿宋"/>
          <w:spacing w:val="-13"/>
          <w:sz w:val="28"/>
          <w:szCs w:val="28"/>
        </w:rPr>
        <w:t>督。</w:t>
      </w:r>
    </w:p>
    <w:p w14:paraId="3F3AE472">
      <w:pPr>
        <w:spacing w:before="201" w:line="353" w:lineRule="auto"/>
        <w:ind w:left="61" w:firstLine="542"/>
        <w:rPr>
          <w:rFonts w:ascii="仿宋" w:hAnsi="仿宋" w:eastAsia="仿宋" w:cs="仿宋"/>
          <w:sz w:val="28"/>
          <w:szCs w:val="28"/>
        </w:rPr>
      </w:pPr>
      <w:r>
        <w:rPr>
          <w:rFonts w:ascii="仿宋" w:hAnsi="仿宋" w:eastAsia="仿宋" w:cs="仿宋"/>
          <w:b/>
          <w:bCs/>
          <w:spacing w:val="-1"/>
          <w:sz w:val="28"/>
          <w:szCs w:val="28"/>
        </w:rPr>
        <w:t>第四十条</w:t>
      </w:r>
      <w:r>
        <w:rPr>
          <w:rFonts w:ascii="仿宋" w:hAnsi="仿宋" w:eastAsia="仿宋" w:cs="仿宋"/>
          <w:spacing w:val="-1"/>
          <w:sz w:val="28"/>
          <w:szCs w:val="28"/>
        </w:rPr>
        <w:t xml:space="preserve"> 本基金会配备具有专业资格的会</w:t>
      </w:r>
      <w:r>
        <w:rPr>
          <w:rFonts w:ascii="仿宋" w:hAnsi="仿宋" w:eastAsia="仿宋" w:cs="仿宋"/>
          <w:spacing w:val="-2"/>
          <w:sz w:val="28"/>
          <w:szCs w:val="28"/>
        </w:rPr>
        <w:t>计人员，会计不得兼</w:t>
      </w:r>
      <w:r>
        <w:rPr>
          <w:rFonts w:ascii="仿宋" w:hAnsi="仿宋" w:eastAsia="仿宋" w:cs="仿宋"/>
          <w:sz w:val="28"/>
          <w:szCs w:val="28"/>
        </w:rPr>
        <w:t xml:space="preserve"> </w:t>
      </w:r>
      <w:r>
        <w:rPr>
          <w:rFonts w:ascii="仿宋" w:hAnsi="仿宋" w:eastAsia="仿宋" w:cs="仿宋"/>
          <w:spacing w:val="-3"/>
          <w:sz w:val="28"/>
          <w:szCs w:val="28"/>
        </w:rPr>
        <w:t>出纳。会计人员调动工作或离职时，必须与接管人员办清交接手续。</w:t>
      </w:r>
    </w:p>
    <w:p w14:paraId="3DCC4600">
      <w:pPr>
        <w:spacing w:before="211" w:line="353" w:lineRule="auto"/>
        <w:ind w:left="38" w:right="96" w:firstLine="565"/>
        <w:rPr>
          <w:rFonts w:ascii="仿宋" w:hAnsi="仿宋" w:eastAsia="仿宋" w:cs="仿宋"/>
          <w:sz w:val="28"/>
          <w:szCs w:val="28"/>
        </w:rPr>
      </w:pPr>
      <w:r>
        <w:rPr>
          <w:rFonts w:ascii="仿宋" w:hAnsi="仿宋" w:eastAsia="仿宋" w:cs="仿宋"/>
          <w:b/>
          <w:bCs/>
          <w:spacing w:val="-11"/>
          <w:sz w:val="28"/>
          <w:szCs w:val="28"/>
        </w:rPr>
        <w:t>第四十一条</w:t>
      </w:r>
      <w:r>
        <w:rPr>
          <w:rFonts w:ascii="仿宋" w:hAnsi="仿宋" w:eastAsia="仿宋" w:cs="仿宋"/>
          <w:spacing w:val="-11"/>
          <w:sz w:val="28"/>
          <w:szCs w:val="28"/>
        </w:rPr>
        <w:t xml:space="preserve"> 本基金会每年</w:t>
      </w:r>
      <w:r>
        <w:rPr>
          <w:rFonts w:ascii="仿宋" w:hAnsi="仿宋" w:eastAsia="仿宋" w:cs="仿宋"/>
          <w:spacing w:val="-37"/>
          <w:sz w:val="28"/>
          <w:szCs w:val="28"/>
        </w:rPr>
        <w:t xml:space="preserve"> </w:t>
      </w:r>
      <w:r>
        <w:rPr>
          <w:rFonts w:ascii="仿宋" w:hAnsi="仿宋" w:eastAsia="仿宋" w:cs="仿宋"/>
          <w:spacing w:val="-11"/>
          <w:sz w:val="28"/>
          <w:szCs w:val="28"/>
        </w:rPr>
        <w:t>1</w:t>
      </w:r>
      <w:r>
        <w:rPr>
          <w:rFonts w:ascii="仿宋" w:hAnsi="仿宋" w:eastAsia="仿宋" w:cs="仿宋"/>
          <w:spacing w:val="-40"/>
          <w:sz w:val="28"/>
          <w:szCs w:val="28"/>
        </w:rPr>
        <w:t xml:space="preserve"> </w:t>
      </w:r>
      <w:r>
        <w:rPr>
          <w:rFonts w:ascii="仿宋" w:hAnsi="仿宋" w:eastAsia="仿宋" w:cs="仿宋"/>
          <w:spacing w:val="-11"/>
          <w:sz w:val="28"/>
          <w:szCs w:val="28"/>
        </w:rPr>
        <w:t>月</w:t>
      </w:r>
      <w:r>
        <w:rPr>
          <w:rFonts w:ascii="仿宋" w:hAnsi="仿宋" w:eastAsia="仿宋" w:cs="仿宋"/>
          <w:spacing w:val="-40"/>
          <w:sz w:val="28"/>
          <w:szCs w:val="28"/>
        </w:rPr>
        <w:t xml:space="preserve"> </w:t>
      </w:r>
      <w:r>
        <w:rPr>
          <w:rFonts w:ascii="仿宋" w:hAnsi="仿宋" w:eastAsia="仿宋" w:cs="仿宋"/>
          <w:spacing w:val="-11"/>
          <w:sz w:val="28"/>
          <w:szCs w:val="28"/>
        </w:rPr>
        <w:t>1 日至</w:t>
      </w:r>
      <w:r>
        <w:rPr>
          <w:rFonts w:ascii="仿宋" w:hAnsi="仿宋" w:eastAsia="仿宋" w:cs="仿宋"/>
          <w:spacing w:val="-40"/>
          <w:sz w:val="28"/>
          <w:szCs w:val="28"/>
        </w:rPr>
        <w:t xml:space="preserve"> </w:t>
      </w:r>
      <w:r>
        <w:rPr>
          <w:rFonts w:ascii="仿宋" w:hAnsi="仿宋" w:eastAsia="仿宋" w:cs="仿宋"/>
          <w:spacing w:val="-11"/>
          <w:sz w:val="28"/>
          <w:szCs w:val="28"/>
        </w:rPr>
        <w:t>12</w:t>
      </w:r>
      <w:r>
        <w:rPr>
          <w:rFonts w:ascii="仿宋" w:hAnsi="仿宋" w:eastAsia="仿宋" w:cs="仿宋"/>
          <w:spacing w:val="-40"/>
          <w:sz w:val="28"/>
          <w:szCs w:val="28"/>
        </w:rPr>
        <w:t xml:space="preserve"> </w:t>
      </w:r>
      <w:r>
        <w:rPr>
          <w:rFonts w:ascii="仿宋" w:hAnsi="仿宋" w:eastAsia="仿宋" w:cs="仿宋"/>
          <w:spacing w:val="-11"/>
          <w:sz w:val="28"/>
          <w:szCs w:val="28"/>
        </w:rPr>
        <w:t>月</w:t>
      </w:r>
      <w:r>
        <w:rPr>
          <w:rFonts w:ascii="仿宋" w:hAnsi="仿宋" w:eastAsia="仿宋" w:cs="仿宋"/>
          <w:spacing w:val="-55"/>
          <w:sz w:val="28"/>
          <w:szCs w:val="28"/>
        </w:rPr>
        <w:t xml:space="preserve"> </w:t>
      </w:r>
      <w:r>
        <w:rPr>
          <w:rFonts w:ascii="仿宋" w:hAnsi="仿宋" w:eastAsia="仿宋" w:cs="仿宋"/>
          <w:spacing w:val="-11"/>
          <w:sz w:val="28"/>
          <w:szCs w:val="28"/>
        </w:rPr>
        <w:t xml:space="preserve">31 </w:t>
      </w:r>
      <w:r>
        <w:rPr>
          <w:rFonts w:ascii="仿宋" w:hAnsi="仿宋" w:eastAsia="仿宋" w:cs="仿宋"/>
          <w:spacing w:val="-12"/>
          <w:sz w:val="28"/>
          <w:szCs w:val="28"/>
        </w:rPr>
        <w:t>日为业务及会计</w:t>
      </w:r>
      <w:r>
        <w:rPr>
          <w:rFonts w:ascii="仿宋" w:hAnsi="仿宋" w:eastAsia="仿宋" w:cs="仿宋"/>
          <w:sz w:val="28"/>
          <w:szCs w:val="28"/>
        </w:rPr>
        <w:t xml:space="preserve"> </w:t>
      </w:r>
      <w:r>
        <w:rPr>
          <w:rFonts w:ascii="仿宋" w:hAnsi="仿宋" w:eastAsia="仿宋" w:cs="仿宋"/>
          <w:spacing w:val="-6"/>
          <w:sz w:val="28"/>
          <w:szCs w:val="28"/>
        </w:rPr>
        <w:t>年度，每年</w:t>
      </w:r>
      <w:r>
        <w:rPr>
          <w:rFonts w:ascii="仿宋" w:hAnsi="仿宋" w:eastAsia="仿宋" w:cs="仿宋"/>
          <w:spacing w:val="-56"/>
          <w:sz w:val="28"/>
          <w:szCs w:val="28"/>
        </w:rPr>
        <w:t xml:space="preserve"> </w:t>
      </w:r>
      <w:r>
        <w:rPr>
          <w:rFonts w:ascii="仿宋" w:hAnsi="仿宋" w:eastAsia="仿宋" w:cs="仿宋"/>
          <w:spacing w:val="-6"/>
          <w:sz w:val="28"/>
          <w:szCs w:val="28"/>
        </w:rPr>
        <w:t>3</w:t>
      </w:r>
      <w:r>
        <w:rPr>
          <w:rFonts w:ascii="仿宋" w:hAnsi="仿宋" w:eastAsia="仿宋" w:cs="仿宋"/>
          <w:spacing w:val="-38"/>
          <w:sz w:val="28"/>
          <w:szCs w:val="28"/>
        </w:rPr>
        <w:t xml:space="preserve"> </w:t>
      </w:r>
      <w:r>
        <w:rPr>
          <w:rFonts w:ascii="仿宋" w:hAnsi="仿宋" w:eastAsia="仿宋" w:cs="仿宋"/>
          <w:spacing w:val="-6"/>
          <w:sz w:val="28"/>
          <w:szCs w:val="28"/>
        </w:rPr>
        <w:t>月</w:t>
      </w:r>
      <w:r>
        <w:rPr>
          <w:rFonts w:ascii="仿宋" w:hAnsi="仿宋" w:eastAsia="仿宋" w:cs="仿宋"/>
          <w:spacing w:val="-55"/>
          <w:sz w:val="28"/>
          <w:szCs w:val="28"/>
        </w:rPr>
        <w:t xml:space="preserve"> </w:t>
      </w:r>
      <w:r>
        <w:rPr>
          <w:rFonts w:ascii="仿宋" w:hAnsi="仿宋" w:eastAsia="仿宋" w:cs="仿宋"/>
          <w:spacing w:val="-6"/>
          <w:sz w:val="28"/>
          <w:szCs w:val="28"/>
        </w:rPr>
        <w:t>31 日前，理事会对下列事项进行审定：</w:t>
      </w:r>
    </w:p>
    <w:p w14:paraId="620DF070">
      <w:pPr>
        <w:spacing w:before="210" w:line="222" w:lineRule="auto"/>
        <w:ind w:left="592"/>
        <w:rPr>
          <w:rFonts w:ascii="仿宋" w:hAnsi="仿宋" w:eastAsia="仿宋" w:cs="仿宋"/>
          <w:sz w:val="28"/>
          <w:szCs w:val="28"/>
        </w:rPr>
      </w:pPr>
      <w:r>
        <w:rPr>
          <w:rFonts w:ascii="仿宋" w:hAnsi="仿宋" w:eastAsia="仿宋" w:cs="仿宋"/>
          <w:spacing w:val="-1"/>
          <w:sz w:val="28"/>
          <w:szCs w:val="28"/>
        </w:rPr>
        <w:t>（一）上年度业务报告及经费收支决算；</w:t>
      </w:r>
    </w:p>
    <w:p w14:paraId="3B74F1F8">
      <w:pPr>
        <w:spacing w:line="290" w:lineRule="auto"/>
        <w:rPr>
          <w:rFonts w:ascii="Arial"/>
          <w:sz w:val="21"/>
        </w:rPr>
      </w:pPr>
    </w:p>
    <w:p w14:paraId="17E53DD8">
      <w:pPr>
        <w:spacing w:before="92" w:line="222" w:lineRule="auto"/>
        <w:ind w:left="592"/>
        <w:rPr>
          <w:rFonts w:ascii="仿宋" w:hAnsi="仿宋" w:eastAsia="仿宋" w:cs="仿宋"/>
          <w:sz w:val="28"/>
          <w:szCs w:val="28"/>
        </w:rPr>
      </w:pPr>
      <w:r>
        <w:rPr>
          <w:rFonts w:ascii="仿宋" w:hAnsi="仿宋" w:eastAsia="仿宋" w:cs="仿宋"/>
          <w:spacing w:val="-1"/>
          <w:sz w:val="28"/>
          <w:szCs w:val="28"/>
        </w:rPr>
        <w:t>（二）本年度业务计划及经费收支预算；</w:t>
      </w:r>
    </w:p>
    <w:p w14:paraId="33CEBE12">
      <w:pPr>
        <w:spacing w:line="289" w:lineRule="auto"/>
        <w:rPr>
          <w:rFonts w:ascii="Arial"/>
          <w:sz w:val="21"/>
        </w:rPr>
      </w:pPr>
    </w:p>
    <w:p w14:paraId="03A53594">
      <w:pPr>
        <w:spacing w:before="91" w:line="221" w:lineRule="auto"/>
        <w:ind w:left="592"/>
        <w:rPr>
          <w:rFonts w:ascii="仿宋" w:hAnsi="仿宋" w:eastAsia="仿宋" w:cs="仿宋"/>
          <w:sz w:val="28"/>
          <w:szCs w:val="28"/>
        </w:rPr>
      </w:pPr>
      <w:r>
        <w:rPr>
          <w:rFonts w:ascii="仿宋" w:hAnsi="仿宋" w:eastAsia="仿宋" w:cs="仿宋"/>
          <w:spacing w:val="-1"/>
          <w:sz w:val="28"/>
          <w:szCs w:val="28"/>
        </w:rPr>
        <w:t>（三）财产清册及当年度捐赠者名册及有关资料。</w:t>
      </w:r>
    </w:p>
    <w:p w14:paraId="3F5C105D">
      <w:pPr>
        <w:spacing w:line="295" w:lineRule="auto"/>
        <w:rPr>
          <w:rFonts w:ascii="Arial"/>
          <w:sz w:val="21"/>
        </w:rPr>
      </w:pPr>
    </w:p>
    <w:p w14:paraId="62A7B044">
      <w:pPr>
        <w:spacing w:before="91" w:line="353" w:lineRule="auto"/>
        <w:ind w:left="32" w:right="96" w:firstLine="571"/>
        <w:rPr>
          <w:rFonts w:ascii="仿宋" w:hAnsi="仿宋" w:eastAsia="仿宋" w:cs="仿宋"/>
          <w:sz w:val="28"/>
          <w:szCs w:val="28"/>
        </w:rPr>
      </w:pPr>
      <w:r>
        <w:rPr>
          <w:rFonts w:ascii="仿宋" w:hAnsi="仿宋" w:eastAsia="仿宋" w:cs="仿宋"/>
          <w:b/>
          <w:bCs/>
          <w:spacing w:val="-2"/>
          <w:sz w:val="28"/>
          <w:szCs w:val="28"/>
        </w:rPr>
        <w:t>第四十二条</w:t>
      </w:r>
      <w:r>
        <w:rPr>
          <w:rFonts w:ascii="仿宋" w:hAnsi="仿宋" w:eastAsia="仿宋" w:cs="仿宋"/>
          <w:spacing w:val="-2"/>
          <w:sz w:val="28"/>
          <w:szCs w:val="28"/>
        </w:rPr>
        <w:t xml:space="preserve"> 本基金会进行年检、换届、更换法定代表人以及清</w:t>
      </w:r>
      <w:r>
        <w:rPr>
          <w:rFonts w:ascii="仿宋" w:hAnsi="仿宋" w:eastAsia="仿宋" w:cs="仿宋"/>
          <w:spacing w:val="16"/>
          <w:sz w:val="28"/>
          <w:szCs w:val="28"/>
        </w:rPr>
        <w:t xml:space="preserve"> </w:t>
      </w:r>
      <w:r>
        <w:rPr>
          <w:rFonts w:ascii="仿宋" w:hAnsi="仿宋" w:eastAsia="仿宋" w:cs="仿宋"/>
          <w:spacing w:val="-2"/>
          <w:sz w:val="28"/>
          <w:szCs w:val="28"/>
        </w:rPr>
        <w:t>算，应当进行财务审计。</w:t>
      </w:r>
    </w:p>
    <w:p w14:paraId="115CCFBA">
      <w:pPr>
        <w:spacing w:before="210" w:line="353" w:lineRule="auto"/>
        <w:ind w:left="34" w:right="96" w:firstLine="569"/>
        <w:rPr>
          <w:rFonts w:ascii="仿宋" w:hAnsi="仿宋" w:eastAsia="仿宋" w:cs="仿宋"/>
          <w:sz w:val="28"/>
          <w:szCs w:val="28"/>
        </w:rPr>
      </w:pPr>
      <w:r>
        <w:rPr>
          <w:rFonts w:ascii="仿宋" w:hAnsi="仿宋" w:eastAsia="仿宋" w:cs="仿宋"/>
          <w:b/>
          <w:bCs/>
          <w:spacing w:val="-2"/>
          <w:sz w:val="28"/>
          <w:szCs w:val="28"/>
        </w:rPr>
        <w:t>第四十三条</w:t>
      </w:r>
      <w:r>
        <w:rPr>
          <w:rFonts w:ascii="仿宋" w:hAnsi="仿宋" w:eastAsia="仿宋" w:cs="仿宋"/>
          <w:spacing w:val="-2"/>
          <w:sz w:val="28"/>
          <w:szCs w:val="28"/>
        </w:rPr>
        <w:t xml:space="preserve"> 本基金会按照《基金会管理条例》规定接受登记管</w:t>
      </w:r>
      <w:r>
        <w:rPr>
          <w:rFonts w:ascii="仿宋" w:hAnsi="仿宋" w:eastAsia="仿宋" w:cs="仿宋"/>
          <w:spacing w:val="16"/>
          <w:sz w:val="28"/>
          <w:szCs w:val="28"/>
        </w:rPr>
        <w:t xml:space="preserve"> </w:t>
      </w:r>
      <w:r>
        <w:rPr>
          <w:rFonts w:ascii="仿宋" w:hAnsi="仿宋" w:eastAsia="仿宋" w:cs="仿宋"/>
          <w:spacing w:val="-2"/>
          <w:sz w:val="28"/>
          <w:szCs w:val="28"/>
        </w:rPr>
        <w:t>理机关组织的年度检查。</w:t>
      </w:r>
    </w:p>
    <w:p w14:paraId="3FCD2747">
      <w:pPr>
        <w:spacing w:before="209" w:line="360" w:lineRule="auto"/>
        <w:ind w:left="39" w:right="7" w:firstLine="564"/>
        <w:jc w:val="both"/>
        <w:rPr>
          <w:rFonts w:ascii="仿宋" w:hAnsi="仿宋" w:eastAsia="仿宋" w:cs="仿宋"/>
          <w:sz w:val="28"/>
          <w:szCs w:val="28"/>
        </w:rPr>
      </w:pPr>
      <w:r>
        <w:rPr>
          <w:rFonts w:ascii="仿宋" w:hAnsi="仿宋" w:eastAsia="仿宋" w:cs="仿宋"/>
          <w:b/>
          <w:bCs/>
          <w:spacing w:val="-2"/>
          <w:sz w:val="28"/>
          <w:szCs w:val="28"/>
        </w:rPr>
        <w:t>第四十四条</w:t>
      </w:r>
      <w:r>
        <w:rPr>
          <w:rFonts w:ascii="仿宋" w:hAnsi="仿宋" w:eastAsia="仿宋" w:cs="仿宋"/>
          <w:spacing w:val="-2"/>
          <w:sz w:val="28"/>
          <w:szCs w:val="28"/>
        </w:rPr>
        <w:t xml:space="preserve"> 本基金会通过登记管理机关的年度检查后，将年度</w:t>
      </w:r>
      <w:r>
        <w:rPr>
          <w:rFonts w:ascii="仿宋" w:hAnsi="仿宋" w:eastAsia="仿宋" w:cs="仿宋"/>
          <w:spacing w:val="16"/>
          <w:sz w:val="28"/>
          <w:szCs w:val="28"/>
        </w:rPr>
        <w:t xml:space="preserve"> </w:t>
      </w:r>
      <w:r>
        <w:rPr>
          <w:rFonts w:ascii="仿宋" w:hAnsi="仿宋" w:eastAsia="仿宋" w:cs="仿宋"/>
          <w:spacing w:val="-3"/>
          <w:sz w:val="28"/>
          <w:szCs w:val="28"/>
        </w:rPr>
        <w:t>工作报告在登记管理机关指定的媒体上公布，接受社会公众的查询、</w:t>
      </w:r>
      <w:r>
        <w:rPr>
          <w:rFonts w:ascii="仿宋" w:hAnsi="仿宋" w:eastAsia="仿宋" w:cs="仿宋"/>
          <w:spacing w:val="18"/>
          <w:sz w:val="28"/>
          <w:szCs w:val="28"/>
        </w:rPr>
        <w:t xml:space="preserve"> </w:t>
      </w:r>
      <w:r>
        <w:rPr>
          <w:rFonts w:ascii="仿宋" w:hAnsi="仿宋" w:eastAsia="仿宋" w:cs="仿宋"/>
          <w:spacing w:val="-8"/>
          <w:sz w:val="28"/>
          <w:szCs w:val="28"/>
        </w:rPr>
        <w:t>监督。</w:t>
      </w:r>
    </w:p>
    <w:p w14:paraId="3A66C960">
      <w:pPr>
        <w:spacing w:before="202" w:line="360" w:lineRule="auto"/>
        <w:ind w:left="34" w:right="55" w:firstLine="569"/>
        <w:jc w:val="both"/>
        <w:rPr>
          <w:rFonts w:ascii="仿宋" w:hAnsi="仿宋" w:eastAsia="仿宋" w:cs="仿宋"/>
          <w:sz w:val="28"/>
          <w:szCs w:val="28"/>
        </w:rPr>
      </w:pPr>
      <w:r>
        <w:rPr>
          <w:rFonts w:ascii="仿宋" w:hAnsi="仿宋" w:eastAsia="仿宋" w:cs="仿宋"/>
          <w:b/>
          <w:bCs/>
          <w:spacing w:val="-2"/>
          <w:sz w:val="28"/>
          <w:szCs w:val="28"/>
        </w:rPr>
        <w:t>第四十五条</w:t>
      </w:r>
      <w:r>
        <w:rPr>
          <w:rFonts w:ascii="仿宋" w:hAnsi="仿宋" w:eastAsia="仿宋" w:cs="仿宋"/>
          <w:spacing w:val="-2"/>
          <w:sz w:val="28"/>
          <w:szCs w:val="28"/>
        </w:rPr>
        <w:t xml:space="preserve"> 本基金会应当合理设计慈善项目，符合本会宗旨和</w:t>
      </w:r>
      <w:r>
        <w:rPr>
          <w:rFonts w:ascii="仿宋" w:hAnsi="仿宋" w:eastAsia="仿宋" w:cs="仿宋"/>
          <w:spacing w:val="16"/>
          <w:sz w:val="28"/>
          <w:szCs w:val="28"/>
        </w:rPr>
        <w:t xml:space="preserve"> </w:t>
      </w:r>
      <w:r>
        <w:rPr>
          <w:rFonts w:ascii="仿宋" w:hAnsi="仿宋" w:eastAsia="仿宋" w:cs="仿宋"/>
          <w:spacing w:val="-4"/>
          <w:sz w:val="28"/>
          <w:szCs w:val="28"/>
        </w:rPr>
        <w:t>章程的有关规定。优化实施流程，降低运行成本，提高慈善财产使用</w:t>
      </w:r>
      <w:r>
        <w:rPr>
          <w:rFonts w:ascii="仿宋" w:hAnsi="仿宋" w:eastAsia="仿宋" w:cs="仿宋"/>
          <w:spacing w:val="4"/>
          <w:sz w:val="28"/>
          <w:szCs w:val="28"/>
        </w:rPr>
        <w:t xml:space="preserve"> </w:t>
      </w:r>
      <w:r>
        <w:rPr>
          <w:rFonts w:ascii="仿宋" w:hAnsi="仿宋" w:eastAsia="仿宋" w:cs="仿宋"/>
          <w:spacing w:val="-7"/>
          <w:sz w:val="28"/>
          <w:szCs w:val="28"/>
        </w:rPr>
        <w:t>效益。</w:t>
      </w:r>
    </w:p>
    <w:p w14:paraId="170FBB22">
      <w:pPr>
        <w:spacing w:line="360" w:lineRule="auto"/>
        <w:rPr>
          <w:rFonts w:ascii="仿宋" w:hAnsi="仿宋" w:eastAsia="仿宋" w:cs="仿宋"/>
          <w:sz w:val="28"/>
          <w:szCs w:val="28"/>
        </w:rPr>
        <w:sectPr>
          <w:footerReference r:id="rId16" w:type="default"/>
          <w:pgSz w:w="11906" w:h="16839"/>
          <w:pgMar w:top="400" w:right="1743" w:bottom="1151" w:left="1785" w:header="0" w:footer="989" w:gutter="0"/>
          <w:pgNumType w:fmt="decimal"/>
          <w:cols w:space="720" w:num="1"/>
        </w:sectPr>
      </w:pPr>
    </w:p>
    <w:p w14:paraId="04CD4C6A">
      <w:pPr>
        <w:spacing w:line="287" w:lineRule="auto"/>
        <w:rPr>
          <w:rFonts w:ascii="Arial"/>
          <w:sz w:val="21"/>
        </w:rPr>
      </w:pPr>
    </w:p>
    <w:p w14:paraId="10FC8BF1">
      <w:pPr>
        <w:spacing w:line="287" w:lineRule="auto"/>
        <w:rPr>
          <w:rFonts w:ascii="Arial"/>
          <w:sz w:val="21"/>
        </w:rPr>
      </w:pPr>
    </w:p>
    <w:p w14:paraId="019EC6BC">
      <w:pPr>
        <w:spacing w:line="287" w:lineRule="auto"/>
        <w:rPr>
          <w:rFonts w:ascii="Arial"/>
          <w:sz w:val="21"/>
        </w:rPr>
      </w:pPr>
    </w:p>
    <w:p w14:paraId="12B3D459">
      <w:pPr>
        <w:spacing w:line="287" w:lineRule="auto"/>
        <w:rPr>
          <w:rFonts w:ascii="Arial"/>
          <w:sz w:val="21"/>
        </w:rPr>
      </w:pPr>
    </w:p>
    <w:p w14:paraId="1DD28EFE">
      <w:pPr>
        <w:spacing w:before="91" w:line="362" w:lineRule="auto"/>
        <w:ind w:left="33" w:right="13" w:firstLine="570"/>
        <w:jc w:val="both"/>
        <w:rPr>
          <w:rFonts w:ascii="仿宋" w:hAnsi="仿宋" w:eastAsia="仿宋" w:cs="仿宋"/>
          <w:sz w:val="28"/>
          <w:szCs w:val="28"/>
        </w:rPr>
      </w:pPr>
      <w:r>
        <w:rPr>
          <w:rFonts w:ascii="仿宋" w:hAnsi="仿宋" w:eastAsia="仿宋" w:cs="仿宋"/>
          <w:b/>
          <w:bCs/>
          <w:spacing w:val="-2"/>
          <w:sz w:val="28"/>
          <w:szCs w:val="28"/>
        </w:rPr>
        <w:t>第四十六条</w:t>
      </w:r>
      <w:r>
        <w:rPr>
          <w:rFonts w:ascii="仿宋" w:hAnsi="仿宋" w:eastAsia="仿宋" w:cs="仿宋"/>
          <w:spacing w:val="-2"/>
          <w:sz w:val="28"/>
          <w:szCs w:val="28"/>
        </w:rPr>
        <w:t xml:space="preserve"> 本基金会建立健全慈善项目的决策、执行、监督机</w:t>
      </w:r>
      <w:r>
        <w:rPr>
          <w:rFonts w:ascii="仿宋" w:hAnsi="仿宋" w:eastAsia="仿宋" w:cs="仿宋"/>
          <w:spacing w:val="16"/>
          <w:sz w:val="28"/>
          <w:szCs w:val="28"/>
        </w:rPr>
        <w:t xml:space="preserve"> </w:t>
      </w:r>
      <w:r>
        <w:rPr>
          <w:rFonts w:ascii="仿宋" w:hAnsi="仿宋" w:eastAsia="仿宋" w:cs="仿宋"/>
          <w:spacing w:val="-4"/>
          <w:sz w:val="28"/>
          <w:szCs w:val="28"/>
        </w:rPr>
        <w:t>制，对慈善项目的立项、审查、执行、控制、评估、反馈等环节建立</w:t>
      </w:r>
      <w:r>
        <w:rPr>
          <w:rFonts w:ascii="仿宋" w:hAnsi="仿宋" w:eastAsia="仿宋" w:cs="仿宋"/>
          <w:spacing w:val="5"/>
          <w:sz w:val="28"/>
          <w:szCs w:val="28"/>
        </w:rPr>
        <w:t xml:space="preserve"> </w:t>
      </w:r>
      <w:r>
        <w:rPr>
          <w:rFonts w:ascii="仿宋" w:hAnsi="仿宋" w:eastAsia="仿宋" w:cs="仿宋"/>
          <w:spacing w:val="-4"/>
          <w:sz w:val="28"/>
          <w:szCs w:val="28"/>
        </w:rPr>
        <w:t>科学、规范、有效的要求，设立项目管理机构，配备专职人员，行使</w:t>
      </w:r>
      <w:r>
        <w:rPr>
          <w:rFonts w:ascii="仿宋" w:hAnsi="仿宋" w:eastAsia="仿宋" w:cs="仿宋"/>
          <w:spacing w:val="5"/>
          <w:sz w:val="28"/>
          <w:szCs w:val="28"/>
        </w:rPr>
        <w:t xml:space="preserve"> </w:t>
      </w:r>
      <w:r>
        <w:rPr>
          <w:rFonts w:ascii="仿宋" w:hAnsi="仿宋" w:eastAsia="仿宋" w:cs="仿宋"/>
          <w:spacing w:val="-3"/>
          <w:sz w:val="28"/>
          <w:szCs w:val="28"/>
        </w:rPr>
        <w:t>项目管理职责。</w:t>
      </w:r>
    </w:p>
    <w:p w14:paraId="6D0B6751">
      <w:pPr>
        <w:spacing w:before="204" w:line="353" w:lineRule="auto"/>
        <w:ind w:left="45" w:right="54" w:firstLine="558"/>
        <w:rPr>
          <w:rFonts w:ascii="仿宋" w:hAnsi="仿宋" w:eastAsia="仿宋" w:cs="仿宋"/>
          <w:sz w:val="28"/>
          <w:szCs w:val="28"/>
        </w:rPr>
      </w:pPr>
      <w:r>
        <w:rPr>
          <w:rFonts w:ascii="仿宋" w:hAnsi="仿宋" w:eastAsia="仿宋" w:cs="仿宋"/>
          <w:b/>
          <w:bCs/>
          <w:spacing w:val="-2"/>
          <w:sz w:val="28"/>
          <w:szCs w:val="28"/>
        </w:rPr>
        <w:t>第四十七条</w:t>
      </w:r>
      <w:r>
        <w:rPr>
          <w:rFonts w:ascii="仿宋" w:hAnsi="仿宋" w:eastAsia="仿宋" w:cs="仿宋"/>
          <w:spacing w:val="-2"/>
          <w:sz w:val="28"/>
          <w:szCs w:val="28"/>
        </w:rPr>
        <w:t xml:space="preserve"> 本基金会按照公开、公平、公正的原则，确定慈善</w:t>
      </w:r>
      <w:r>
        <w:rPr>
          <w:rFonts w:ascii="仿宋" w:hAnsi="仿宋" w:eastAsia="仿宋" w:cs="仿宋"/>
          <w:spacing w:val="16"/>
          <w:sz w:val="28"/>
          <w:szCs w:val="28"/>
        </w:rPr>
        <w:t xml:space="preserve"> </w:t>
      </w:r>
      <w:r>
        <w:rPr>
          <w:rFonts w:ascii="仿宋" w:hAnsi="仿宋" w:eastAsia="仿宋" w:cs="仿宋"/>
          <w:spacing w:val="-2"/>
          <w:sz w:val="28"/>
          <w:szCs w:val="28"/>
        </w:rPr>
        <w:t>受益人。本会管理人员的利害关系人不得作为受益人。</w:t>
      </w:r>
    </w:p>
    <w:p w14:paraId="497594BE">
      <w:pPr>
        <w:spacing w:before="210" w:line="355" w:lineRule="auto"/>
        <w:ind w:left="36" w:right="54" w:firstLine="567"/>
        <w:rPr>
          <w:rFonts w:ascii="仿宋" w:hAnsi="仿宋" w:eastAsia="仿宋" w:cs="仿宋"/>
          <w:sz w:val="28"/>
          <w:szCs w:val="28"/>
        </w:rPr>
      </w:pPr>
      <w:r>
        <w:rPr>
          <w:rFonts w:ascii="仿宋" w:hAnsi="仿宋" w:eastAsia="仿宋" w:cs="仿宋"/>
          <w:b/>
          <w:bCs/>
          <w:spacing w:val="-2"/>
          <w:sz w:val="28"/>
          <w:szCs w:val="28"/>
        </w:rPr>
        <w:t>第四十八条</w:t>
      </w:r>
      <w:r>
        <w:rPr>
          <w:rFonts w:ascii="仿宋" w:hAnsi="仿宋" w:eastAsia="仿宋" w:cs="仿宋"/>
          <w:spacing w:val="-2"/>
          <w:sz w:val="28"/>
          <w:szCs w:val="28"/>
        </w:rPr>
        <w:t xml:space="preserve"> 本基金会开展重大慈善项目，应当由理事会表决通</w:t>
      </w:r>
      <w:r>
        <w:rPr>
          <w:rFonts w:ascii="仿宋" w:hAnsi="仿宋" w:eastAsia="仿宋" w:cs="仿宋"/>
          <w:spacing w:val="16"/>
          <w:sz w:val="28"/>
          <w:szCs w:val="28"/>
        </w:rPr>
        <w:t xml:space="preserve"> </w:t>
      </w:r>
      <w:r>
        <w:rPr>
          <w:rFonts w:ascii="仿宋" w:hAnsi="仿宋" w:eastAsia="仿宋" w:cs="仿宋"/>
          <w:spacing w:val="2"/>
          <w:sz w:val="28"/>
          <w:szCs w:val="28"/>
        </w:rPr>
        <w:t>过，且同意的人数不得低于到会理事人数的2/3。</w:t>
      </w:r>
    </w:p>
    <w:p w14:paraId="1C88892C">
      <w:pPr>
        <w:spacing w:before="204" w:line="461" w:lineRule="auto"/>
        <w:ind w:left="592" w:right="2356" w:firstLine="11"/>
        <w:rPr>
          <w:rFonts w:ascii="仿宋" w:hAnsi="仿宋" w:eastAsia="仿宋" w:cs="仿宋"/>
          <w:sz w:val="28"/>
          <w:szCs w:val="28"/>
        </w:rPr>
      </w:pPr>
      <w:r>
        <w:rPr>
          <w:rFonts w:ascii="仿宋" w:hAnsi="仿宋" w:eastAsia="仿宋" w:cs="仿宋"/>
          <w:b/>
          <w:bCs/>
          <w:spacing w:val="-6"/>
          <w:sz w:val="28"/>
          <w:szCs w:val="28"/>
        </w:rPr>
        <w:t>第四十九条</w:t>
      </w:r>
      <w:r>
        <w:rPr>
          <w:rFonts w:ascii="仿宋" w:hAnsi="仿宋" w:eastAsia="仿宋" w:cs="仿宋"/>
          <w:spacing w:val="-6"/>
          <w:sz w:val="28"/>
          <w:szCs w:val="28"/>
        </w:rPr>
        <w:t xml:space="preserve"> 本基金会的重大慈善项目包括：</w:t>
      </w:r>
      <w:r>
        <w:rPr>
          <w:rFonts w:ascii="仿宋" w:hAnsi="仿宋" w:eastAsia="仿宋" w:cs="仿宋"/>
          <w:spacing w:val="17"/>
          <w:sz w:val="28"/>
          <w:szCs w:val="28"/>
        </w:rPr>
        <w:t xml:space="preserve"> </w:t>
      </w:r>
      <w:r>
        <w:rPr>
          <w:rFonts w:ascii="仿宋" w:hAnsi="仿宋" w:eastAsia="仿宋" w:cs="仿宋"/>
          <w:spacing w:val="-2"/>
          <w:sz w:val="28"/>
          <w:szCs w:val="28"/>
        </w:rPr>
        <w:t>（一）年度慈善项目计划；</w:t>
      </w:r>
    </w:p>
    <w:p w14:paraId="71D83487">
      <w:pPr>
        <w:spacing w:before="43" w:line="222" w:lineRule="auto"/>
        <w:ind w:left="592"/>
        <w:rPr>
          <w:rFonts w:ascii="仿宋" w:hAnsi="仿宋" w:eastAsia="仿宋" w:cs="仿宋"/>
          <w:sz w:val="28"/>
          <w:szCs w:val="28"/>
        </w:rPr>
      </w:pPr>
      <w:r>
        <w:rPr>
          <w:rFonts w:ascii="仿宋" w:hAnsi="仿宋" w:eastAsia="仿宋" w:cs="仿宋"/>
          <w:spacing w:val="-2"/>
          <w:sz w:val="28"/>
          <w:szCs w:val="28"/>
        </w:rPr>
        <w:t>（二）年度慈善项目支出决算；</w:t>
      </w:r>
    </w:p>
    <w:p w14:paraId="5A81817C">
      <w:pPr>
        <w:spacing w:line="290" w:lineRule="auto"/>
        <w:rPr>
          <w:rFonts w:ascii="Arial"/>
          <w:sz w:val="21"/>
        </w:rPr>
      </w:pPr>
    </w:p>
    <w:p w14:paraId="1D65B02D">
      <w:pPr>
        <w:spacing w:before="92" w:line="224" w:lineRule="auto"/>
        <w:ind w:left="592"/>
        <w:rPr>
          <w:rFonts w:ascii="仿宋" w:hAnsi="仿宋" w:eastAsia="仿宋" w:cs="仿宋"/>
          <w:sz w:val="28"/>
          <w:szCs w:val="28"/>
        </w:rPr>
      </w:pPr>
      <w:r>
        <w:rPr>
          <w:rFonts w:ascii="仿宋" w:hAnsi="仿宋" w:eastAsia="仿宋" w:cs="仿宋"/>
          <w:spacing w:val="-4"/>
          <w:sz w:val="28"/>
          <w:szCs w:val="28"/>
        </w:rPr>
        <w:t>（三）超过</w:t>
      </w:r>
      <w:r>
        <w:rPr>
          <w:rFonts w:ascii="仿宋" w:hAnsi="仿宋" w:eastAsia="仿宋" w:cs="仿宋"/>
          <w:spacing w:val="-47"/>
          <w:sz w:val="28"/>
          <w:szCs w:val="28"/>
        </w:rPr>
        <w:t xml:space="preserve"> </w:t>
      </w:r>
      <w:r>
        <w:rPr>
          <w:rFonts w:ascii="仿宋" w:hAnsi="仿宋" w:eastAsia="仿宋" w:cs="仿宋"/>
          <w:spacing w:val="-4"/>
          <w:sz w:val="28"/>
          <w:szCs w:val="28"/>
        </w:rPr>
        <w:t>50</w:t>
      </w:r>
      <w:r>
        <w:rPr>
          <w:rFonts w:ascii="仿宋" w:hAnsi="仿宋" w:eastAsia="仿宋" w:cs="仿宋"/>
          <w:spacing w:val="-51"/>
          <w:sz w:val="28"/>
          <w:szCs w:val="28"/>
        </w:rPr>
        <w:t xml:space="preserve"> </w:t>
      </w:r>
      <w:r>
        <w:rPr>
          <w:rFonts w:ascii="仿宋" w:hAnsi="仿宋" w:eastAsia="仿宋" w:cs="仿宋"/>
          <w:spacing w:val="-4"/>
          <w:sz w:val="28"/>
          <w:szCs w:val="28"/>
        </w:rPr>
        <w:t>万元的慈善项目。</w:t>
      </w:r>
    </w:p>
    <w:p w14:paraId="431BFAC3">
      <w:pPr>
        <w:spacing w:line="289" w:lineRule="auto"/>
        <w:rPr>
          <w:rFonts w:ascii="Arial"/>
          <w:sz w:val="21"/>
        </w:rPr>
      </w:pPr>
    </w:p>
    <w:p w14:paraId="50CF79B4">
      <w:pPr>
        <w:spacing w:before="92" w:line="353" w:lineRule="auto"/>
        <w:ind w:left="48" w:right="54" w:firstLine="555"/>
        <w:rPr>
          <w:rFonts w:ascii="仿宋" w:hAnsi="仿宋" w:eastAsia="仿宋" w:cs="仿宋"/>
          <w:sz w:val="28"/>
          <w:szCs w:val="28"/>
        </w:rPr>
      </w:pPr>
      <w:r>
        <w:rPr>
          <w:rFonts w:ascii="仿宋" w:hAnsi="仿宋" w:eastAsia="仿宋" w:cs="仿宋"/>
          <w:b/>
          <w:bCs/>
          <w:spacing w:val="-1"/>
          <w:sz w:val="28"/>
          <w:szCs w:val="28"/>
        </w:rPr>
        <w:t>第五十条</w:t>
      </w:r>
      <w:r>
        <w:rPr>
          <w:rFonts w:ascii="仿宋" w:hAnsi="仿宋" w:eastAsia="仿宋" w:cs="仿宋"/>
          <w:spacing w:val="-1"/>
          <w:sz w:val="28"/>
          <w:szCs w:val="28"/>
        </w:rPr>
        <w:t xml:space="preserve"> 本基金会开展重大慈善项目之前</w:t>
      </w:r>
      <w:r>
        <w:rPr>
          <w:rFonts w:ascii="仿宋" w:hAnsi="仿宋" w:eastAsia="仿宋" w:cs="仿宋"/>
          <w:spacing w:val="-2"/>
          <w:sz w:val="28"/>
          <w:szCs w:val="28"/>
        </w:rPr>
        <w:t>，应当及时向业务主</w:t>
      </w:r>
      <w:r>
        <w:rPr>
          <w:rFonts w:ascii="仿宋" w:hAnsi="仿宋" w:eastAsia="仿宋" w:cs="仿宋"/>
          <w:sz w:val="28"/>
          <w:szCs w:val="28"/>
        </w:rPr>
        <w:t xml:space="preserve"> </w:t>
      </w:r>
      <w:r>
        <w:rPr>
          <w:rFonts w:ascii="仿宋" w:hAnsi="仿宋" w:eastAsia="仿宋" w:cs="仿宋"/>
          <w:spacing w:val="-6"/>
          <w:sz w:val="28"/>
          <w:szCs w:val="28"/>
        </w:rPr>
        <w:t>管单位报备。</w:t>
      </w:r>
    </w:p>
    <w:p w14:paraId="22033FFF">
      <w:pPr>
        <w:spacing w:before="210" w:line="354" w:lineRule="auto"/>
        <w:ind w:left="38" w:right="54" w:firstLine="565"/>
        <w:rPr>
          <w:rFonts w:ascii="仿宋" w:hAnsi="仿宋" w:eastAsia="仿宋" w:cs="仿宋"/>
          <w:sz w:val="28"/>
          <w:szCs w:val="28"/>
        </w:rPr>
      </w:pPr>
      <w:r>
        <w:rPr>
          <w:rFonts w:ascii="仿宋" w:hAnsi="仿宋" w:eastAsia="仿宋" w:cs="仿宋"/>
          <w:b/>
          <w:bCs/>
          <w:spacing w:val="-2"/>
          <w:sz w:val="28"/>
          <w:szCs w:val="28"/>
        </w:rPr>
        <w:t>第五十一条</w:t>
      </w:r>
      <w:r>
        <w:rPr>
          <w:rFonts w:ascii="仿宋" w:hAnsi="仿宋" w:eastAsia="仿宋" w:cs="仿宋"/>
          <w:spacing w:val="-2"/>
          <w:sz w:val="28"/>
          <w:szCs w:val="28"/>
        </w:rPr>
        <w:t xml:space="preserve"> 项目资金的使用要严格遵守国家财务会计制度的规</w:t>
      </w:r>
      <w:r>
        <w:rPr>
          <w:rFonts w:ascii="仿宋" w:hAnsi="仿宋" w:eastAsia="仿宋" w:cs="仿宋"/>
          <w:spacing w:val="16"/>
          <w:sz w:val="28"/>
          <w:szCs w:val="28"/>
        </w:rPr>
        <w:t xml:space="preserve"> </w:t>
      </w:r>
      <w:r>
        <w:rPr>
          <w:rFonts w:ascii="仿宋" w:hAnsi="仿宋" w:eastAsia="仿宋" w:cs="仿宋"/>
          <w:spacing w:val="-2"/>
          <w:sz w:val="28"/>
          <w:szCs w:val="28"/>
        </w:rPr>
        <w:t>定，按照捐赠协议专款专用。</w:t>
      </w:r>
    </w:p>
    <w:p w14:paraId="323B4864">
      <w:pPr>
        <w:spacing w:before="207" w:line="359" w:lineRule="auto"/>
        <w:ind w:left="32" w:right="13" w:firstLine="571"/>
        <w:jc w:val="both"/>
        <w:rPr>
          <w:rFonts w:ascii="仿宋" w:hAnsi="仿宋" w:eastAsia="仿宋" w:cs="仿宋"/>
          <w:sz w:val="28"/>
          <w:szCs w:val="28"/>
        </w:rPr>
      </w:pPr>
      <w:r>
        <w:rPr>
          <w:rFonts w:ascii="仿宋" w:hAnsi="仿宋" w:eastAsia="仿宋" w:cs="仿宋"/>
          <w:b/>
          <w:bCs/>
          <w:spacing w:val="-3"/>
          <w:sz w:val="28"/>
          <w:szCs w:val="28"/>
        </w:rPr>
        <w:t>第五十二条</w:t>
      </w:r>
      <w:r>
        <w:rPr>
          <w:rFonts w:ascii="仿宋" w:hAnsi="仿宋" w:eastAsia="仿宋" w:cs="仿宋"/>
          <w:spacing w:val="41"/>
          <w:sz w:val="28"/>
          <w:szCs w:val="28"/>
        </w:rPr>
        <w:t xml:space="preserve"> </w:t>
      </w:r>
      <w:r>
        <w:rPr>
          <w:rFonts w:ascii="仿宋" w:hAnsi="仿宋" w:eastAsia="仿宋" w:cs="仿宋"/>
          <w:spacing w:val="-3"/>
          <w:sz w:val="28"/>
          <w:szCs w:val="28"/>
        </w:rPr>
        <w:t>慈善项目资金的管理使用要自觉接受财政部门、审</w:t>
      </w:r>
      <w:r>
        <w:rPr>
          <w:rFonts w:ascii="仿宋" w:hAnsi="仿宋" w:eastAsia="仿宋" w:cs="仿宋"/>
          <w:sz w:val="28"/>
          <w:szCs w:val="28"/>
        </w:rPr>
        <w:t xml:space="preserve"> </w:t>
      </w:r>
      <w:r>
        <w:rPr>
          <w:rFonts w:ascii="仿宋" w:hAnsi="仿宋" w:eastAsia="仿宋" w:cs="仿宋"/>
          <w:spacing w:val="-4"/>
          <w:sz w:val="28"/>
          <w:szCs w:val="28"/>
        </w:rPr>
        <w:t>计机关、业务主管单位、登记管理机关和社会公众的监督，认真履行</w:t>
      </w:r>
      <w:r>
        <w:rPr>
          <w:rFonts w:ascii="仿宋" w:hAnsi="仿宋" w:eastAsia="仿宋" w:cs="仿宋"/>
          <w:spacing w:val="7"/>
          <w:sz w:val="28"/>
          <w:szCs w:val="28"/>
        </w:rPr>
        <w:t xml:space="preserve"> </w:t>
      </w:r>
      <w:r>
        <w:rPr>
          <w:rFonts w:ascii="仿宋" w:hAnsi="仿宋" w:eastAsia="仿宋" w:cs="仿宋"/>
          <w:spacing w:val="-2"/>
          <w:sz w:val="28"/>
          <w:szCs w:val="28"/>
        </w:rPr>
        <w:t>信息公开义务，接受社会监督。</w:t>
      </w:r>
    </w:p>
    <w:p w14:paraId="76033D75">
      <w:pPr>
        <w:spacing w:before="207" w:line="354" w:lineRule="auto"/>
        <w:ind w:left="49" w:right="54" w:firstLine="554"/>
        <w:rPr>
          <w:rFonts w:ascii="仿宋" w:hAnsi="仿宋" w:eastAsia="仿宋" w:cs="仿宋"/>
          <w:sz w:val="28"/>
          <w:szCs w:val="28"/>
        </w:rPr>
      </w:pPr>
      <w:r>
        <w:rPr>
          <w:rFonts w:ascii="仿宋" w:hAnsi="仿宋" w:eastAsia="仿宋" w:cs="仿宋"/>
          <w:b/>
          <w:bCs/>
          <w:spacing w:val="-2"/>
          <w:sz w:val="28"/>
          <w:szCs w:val="28"/>
        </w:rPr>
        <w:t>第五十三条</w:t>
      </w:r>
      <w:r>
        <w:rPr>
          <w:rFonts w:ascii="仿宋" w:hAnsi="仿宋" w:eastAsia="仿宋" w:cs="仿宋"/>
          <w:spacing w:val="-2"/>
          <w:sz w:val="28"/>
          <w:szCs w:val="28"/>
        </w:rPr>
        <w:t xml:space="preserve"> 本基金会要加强慈善项目档案管理，保存慈善项目</w:t>
      </w:r>
      <w:r>
        <w:rPr>
          <w:rFonts w:ascii="仿宋" w:hAnsi="仿宋" w:eastAsia="仿宋" w:cs="仿宋"/>
          <w:spacing w:val="16"/>
          <w:sz w:val="28"/>
          <w:szCs w:val="28"/>
        </w:rPr>
        <w:t xml:space="preserve"> </w:t>
      </w:r>
      <w:r>
        <w:rPr>
          <w:rFonts w:ascii="仿宋" w:hAnsi="仿宋" w:eastAsia="仿宋" w:cs="仿宋"/>
          <w:spacing w:val="-2"/>
          <w:sz w:val="28"/>
          <w:szCs w:val="28"/>
        </w:rPr>
        <w:t>的完整信息，做好慈善项目的建档归档工作。</w:t>
      </w:r>
    </w:p>
    <w:p w14:paraId="68EE8842">
      <w:pPr>
        <w:spacing w:line="354" w:lineRule="auto"/>
        <w:rPr>
          <w:rFonts w:ascii="仿宋" w:hAnsi="仿宋" w:eastAsia="仿宋" w:cs="仿宋"/>
          <w:sz w:val="28"/>
          <w:szCs w:val="28"/>
        </w:rPr>
        <w:sectPr>
          <w:footerReference r:id="rId17" w:type="default"/>
          <w:pgSz w:w="11906" w:h="16839"/>
          <w:pgMar w:top="400" w:right="1785" w:bottom="1151" w:left="1785" w:header="0" w:footer="989" w:gutter="0"/>
          <w:pgNumType w:fmt="decimal"/>
          <w:cols w:space="720" w:num="1"/>
        </w:sectPr>
      </w:pPr>
    </w:p>
    <w:p w14:paraId="1487BDBF">
      <w:pPr>
        <w:spacing w:line="287" w:lineRule="auto"/>
        <w:rPr>
          <w:rFonts w:ascii="Arial"/>
          <w:sz w:val="21"/>
        </w:rPr>
      </w:pPr>
    </w:p>
    <w:p w14:paraId="583224D4">
      <w:pPr>
        <w:spacing w:line="287" w:lineRule="auto"/>
        <w:rPr>
          <w:rFonts w:ascii="Arial"/>
          <w:sz w:val="21"/>
        </w:rPr>
      </w:pPr>
    </w:p>
    <w:p w14:paraId="371B9B43">
      <w:pPr>
        <w:spacing w:line="288" w:lineRule="auto"/>
        <w:rPr>
          <w:rFonts w:ascii="Arial"/>
          <w:sz w:val="21"/>
        </w:rPr>
      </w:pPr>
    </w:p>
    <w:p w14:paraId="61FD317D">
      <w:pPr>
        <w:spacing w:line="288" w:lineRule="auto"/>
        <w:rPr>
          <w:rFonts w:ascii="Arial"/>
          <w:sz w:val="21"/>
        </w:rPr>
      </w:pPr>
    </w:p>
    <w:p w14:paraId="400A881A">
      <w:pPr>
        <w:spacing w:before="91" w:line="222" w:lineRule="auto"/>
        <w:ind w:left="2372"/>
        <w:rPr>
          <w:rFonts w:ascii="黑体" w:hAnsi="黑体" w:eastAsia="黑体" w:cs="黑体"/>
          <w:sz w:val="28"/>
          <w:szCs w:val="28"/>
        </w:rPr>
      </w:pPr>
      <w:r>
        <w:rPr>
          <w:rFonts w:ascii="黑体" w:hAnsi="黑体" w:eastAsia="黑体" w:cs="黑体"/>
          <w:b/>
          <w:bCs/>
          <w:spacing w:val="-4"/>
          <w:sz w:val="28"/>
          <w:szCs w:val="28"/>
        </w:rPr>
        <w:t>第五章</w:t>
      </w:r>
      <w:r>
        <w:rPr>
          <w:rFonts w:ascii="黑体" w:hAnsi="黑体" w:eastAsia="黑体" w:cs="黑体"/>
          <w:spacing w:val="110"/>
          <w:sz w:val="28"/>
          <w:szCs w:val="28"/>
        </w:rPr>
        <w:t xml:space="preserve"> </w:t>
      </w:r>
      <w:r>
        <w:rPr>
          <w:rFonts w:ascii="黑体" w:hAnsi="黑体" w:eastAsia="黑体" w:cs="黑体"/>
          <w:b/>
          <w:bCs/>
          <w:spacing w:val="-4"/>
          <w:sz w:val="28"/>
          <w:szCs w:val="28"/>
        </w:rPr>
        <w:t>终止和剩余财产处理</w:t>
      </w:r>
    </w:p>
    <w:p w14:paraId="0C9517DE">
      <w:pPr>
        <w:spacing w:before="222" w:line="223" w:lineRule="auto"/>
        <w:ind w:left="603"/>
        <w:rPr>
          <w:rFonts w:ascii="仿宋" w:hAnsi="仿宋" w:eastAsia="仿宋" w:cs="仿宋"/>
          <w:sz w:val="28"/>
          <w:szCs w:val="28"/>
        </w:rPr>
      </w:pPr>
      <w:r>
        <w:rPr>
          <w:rFonts w:ascii="仿宋" w:hAnsi="仿宋" w:eastAsia="仿宋" w:cs="仿宋"/>
          <w:b/>
          <w:bCs/>
          <w:spacing w:val="-2"/>
          <w:sz w:val="28"/>
          <w:szCs w:val="28"/>
        </w:rPr>
        <w:t>第五十四条</w:t>
      </w:r>
      <w:r>
        <w:rPr>
          <w:rFonts w:ascii="仿宋" w:hAnsi="仿宋" w:eastAsia="仿宋" w:cs="仿宋"/>
          <w:spacing w:val="-2"/>
          <w:sz w:val="28"/>
          <w:szCs w:val="28"/>
        </w:rPr>
        <w:t xml:space="preserve"> 本基金会有以下情形之一，应当终止：</w:t>
      </w:r>
    </w:p>
    <w:p w14:paraId="108E2D4C">
      <w:pPr>
        <w:spacing w:line="289" w:lineRule="auto"/>
        <w:rPr>
          <w:rFonts w:ascii="Arial"/>
          <w:sz w:val="21"/>
        </w:rPr>
      </w:pPr>
    </w:p>
    <w:p w14:paraId="0E86AC98">
      <w:pPr>
        <w:spacing w:before="91" w:line="223" w:lineRule="auto"/>
        <w:ind w:left="661"/>
        <w:rPr>
          <w:rFonts w:ascii="仿宋" w:hAnsi="仿宋" w:eastAsia="仿宋" w:cs="仿宋"/>
          <w:sz w:val="28"/>
          <w:szCs w:val="28"/>
        </w:rPr>
      </w:pPr>
      <w:r>
        <w:rPr>
          <w:rFonts w:ascii="仿宋" w:hAnsi="仿宋" w:eastAsia="仿宋" w:cs="仿宋"/>
          <w:spacing w:val="-2"/>
          <w:sz w:val="28"/>
          <w:szCs w:val="28"/>
        </w:rPr>
        <w:t>（一）完成章程规定的宗旨的；</w:t>
      </w:r>
    </w:p>
    <w:p w14:paraId="621D4532">
      <w:pPr>
        <w:spacing w:line="289" w:lineRule="auto"/>
        <w:rPr>
          <w:rFonts w:ascii="Arial"/>
          <w:sz w:val="21"/>
        </w:rPr>
      </w:pPr>
    </w:p>
    <w:p w14:paraId="49700655">
      <w:pPr>
        <w:spacing w:before="91" w:line="223" w:lineRule="auto"/>
        <w:ind w:left="661"/>
        <w:rPr>
          <w:rFonts w:ascii="仿宋" w:hAnsi="仿宋" w:eastAsia="仿宋" w:cs="仿宋"/>
          <w:sz w:val="28"/>
          <w:szCs w:val="28"/>
        </w:rPr>
      </w:pPr>
      <w:r>
        <w:rPr>
          <w:rFonts w:ascii="仿宋" w:hAnsi="仿宋" w:eastAsia="仿宋" w:cs="仿宋"/>
          <w:spacing w:val="-1"/>
          <w:sz w:val="28"/>
          <w:szCs w:val="28"/>
        </w:rPr>
        <w:t>（二）无法按照章程规定的宗旨继续从事公益活动的；</w:t>
      </w:r>
    </w:p>
    <w:p w14:paraId="737DAE5B">
      <w:pPr>
        <w:spacing w:line="291" w:lineRule="auto"/>
        <w:rPr>
          <w:rFonts w:ascii="Arial"/>
          <w:sz w:val="21"/>
        </w:rPr>
      </w:pPr>
    </w:p>
    <w:p w14:paraId="20919B44">
      <w:pPr>
        <w:spacing w:before="91" w:line="221" w:lineRule="auto"/>
        <w:ind w:left="661"/>
        <w:rPr>
          <w:rFonts w:ascii="仿宋" w:hAnsi="仿宋" w:eastAsia="仿宋" w:cs="仿宋"/>
          <w:sz w:val="28"/>
          <w:szCs w:val="28"/>
        </w:rPr>
      </w:pPr>
      <w:r>
        <w:rPr>
          <w:rFonts w:ascii="仿宋" w:hAnsi="仿宋" w:eastAsia="仿宋" w:cs="仿宋"/>
          <w:spacing w:val="-2"/>
          <w:sz w:val="28"/>
          <w:szCs w:val="28"/>
        </w:rPr>
        <w:t>（三）基金会发生分立、合并的。</w:t>
      </w:r>
    </w:p>
    <w:p w14:paraId="57E478A3">
      <w:pPr>
        <w:spacing w:line="291" w:lineRule="auto"/>
        <w:rPr>
          <w:rFonts w:ascii="Arial"/>
          <w:sz w:val="21"/>
        </w:rPr>
      </w:pPr>
    </w:p>
    <w:p w14:paraId="64E2F298">
      <w:pPr>
        <w:spacing w:before="91" w:line="359" w:lineRule="auto"/>
        <w:ind w:left="32" w:right="13" w:firstLine="571"/>
        <w:jc w:val="both"/>
        <w:rPr>
          <w:rFonts w:ascii="仿宋" w:hAnsi="仿宋" w:eastAsia="仿宋" w:cs="仿宋"/>
          <w:sz w:val="28"/>
          <w:szCs w:val="28"/>
        </w:rPr>
      </w:pPr>
      <w:r>
        <w:rPr>
          <w:rFonts w:ascii="仿宋" w:hAnsi="仿宋" w:eastAsia="仿宋" w:cs="仿宋"/>
          <w:b/>
          <w:bCs/>
          <w:spacing w:val="-8"/>
          <w:sz w:val="28"/>
          <w:szCs w:val="28"/>
        </w:rPr>
        <w:t>第五十五条</w:t>
      </w:r>
      <w:r>
        <w:rPr>
          <w:rFonts w:ascii="仿宋" w:hAnsi="仿宋" w:eastAsia="仿宋" w:cs="仿宋"/>
          <w:spacing w:val="-8"/>
          <w:sz w:val="28"/>
          <w:szCs w:val="28"/>
        </w:rPr>
        <w:t xml:space="preserve"> 本基金会终止，应在理事会表决通过后</w:t>
      </w:r>
      <w:r>
        <w:rPr>
          <w:rFonts w:ascii="仿宋" w:hAnsi="仿宋" w:eastAsia="仿宋" w:cs="仿宋"/>
          <w:spacing w:val="-39"/>
          <w:sz w:val="28"/>
          <w:szCs w:val="28"/>
        </w:rPr>
        <w:t xml:space="preserve"> </w:t>
      </w:r>
      <w:r>
        <w:rPr>
          <w:rFonts w:ascii="仿宋" w:hAnsi="仿宋" w:eastAsia="仿宋" w:cs="仿宋"/>
          <w:spacing w:val="-8"/>
          <w:sz w:val="28"/>
          <w:szCs w:val="28"/>
        </w:rPr>
        <w:t>15 日内，报</w:t>
      </w:r>
      <w:r>
        <w:rPr>
          <w:rFonts w:ascii="仿宋" w:hAnsi="仿宋" w:eastAsia="仿宋" w:cs="仿宋"/>
          <w:sz w:val="28"/>
          <w:szCs w:val="28"/>
        </w:rPr>
        <w:t xml:space="preserve"> </w:t>
      </w:r>
      <w:r>
        <w:rPr>
          <w:rFonts w:ascii="仿宋" w:hAnsi="仿宋" w:eastAsia="仿宋" w:cs="仿宋"/>
          <w:spacing w:val="-4"/>
          <w:sz w:val="28"/>
          <w:szCs w:val="28"/>
        </w:rPr>
        <w:t>业务主管单位审查同意。经业务主管单位审查同意后</w:t>
      </w:r>
      <w:r>
        <w:rPr>
          <w:rFonts w:ascii="仿宋" w:hAnsi="仿宋" w:eastAsia="仿宋" w:cs="仿宋"/>
          <w:spacing w:val="-35"/>
          <w:sz w:val="28"/>
          <w:szCs w:val="28"/>
        </w:rPr>
        <w:t xml:space="preserve"> </w:t>
      </w:r>
      <w:r>
        <w:rPr>
          <w:rFonts w:ascii="仿宋" w:hAnsi="仿宋" w:eastAsia="仿宋" w:cs="仿宋"/>
          <w:spacing w:val="-4"/>
          <w:sz w:val="28"/>
          <w:szCs w:val="28"/>
        </w:rPr>
        <w:t>15 内，向登记</w:t>
      </w:r>
      <w:r>
        <w:rPr>
          <w:rFonts w:ascii="仿宋" w:hAnsi="仿宋" w:eastAsia="仿宋" w:cs="仿宋"/>
          <w:sz w:val="28"/>
          <w:szCs w:val="28"/>
        </w:rPr>
        <w:t xml:space="preserve"> </w:t>
      </w:r>
      <w:r>
        <w:rPr>
          <w:rFonts w:ascii="仿宋" w:hAnsi="仿宋" w:eastAsia="仿宋" w:cs="仿宋"/>
          <w:spacing w:val="-2"/>
          <w:sz w:val="28"/>
          <w:szCs w:val="28"/>
        </w:rPr>
        <w:t>管理机关申请注销登记。</w:t>
      </w:r>
    </w:p>
    <w:p w14:paraId="432945D3">
      <w:pPr>
        <w:spacing w:before="209" w:line="354" w:lineRule="auto"/>
        <w:ind w:left="32" w:right="99" w:firstLine="571"/>
        <w:rPr>
          <w:rFonts w:ascii="仿宋" w:hAnsi="仿宋" w:eastAsia="仿宋" w:cs="仿宋"/>
          <w:sz w:val="28"/>
          <w:szCs w:val="28"/>
        </w:rPr>
      </w:pPr>
      <w:r>
        <w:rPr>
          <w:rFonts w:ascii="仿宋" w:hAnsi="仿宋" w:eastAsia="仿宋" w:cs="仿宋"/>
          <w:b/>
          <w:bCs/>
          <w:spacing w:val="-3"/>
          <w:sz w:val="28"/>
          <w:szCs w:val="28"/>
        </w:rPr>
        <w:t>第五十六条</w:t>
      </w:r>
      <w:r>
        <w:rPr>
          <w:rFonts w:ascii="仿宋" w:hAnsi="仿宋" w:eastAsia="仿宋" w:cs="仿宋"/>
          <w:spacing w:val="-3"/>
          <w:sz w:val="28"/>
          <w:szCs w:val="28"/>
        </w:rPr>
        <w:t xml:space="preserve"> 本基金会办理注销登记前，应当在登记管理机</w:t>
      </w:r>
      <w:r>
        <w:rPr>
          <w:rFonts w:ascii="仿宋" w:hAnsi="仿宋" w:eastAsia="仿宋" w:cs="仿宋"/>
          <w:spacing w:val="-4"/>
          <w:sz w:val="28"/>
          <w:szCs w:val="28"/>
        </w:rPr>
        <w:t>关、</w:t>
      </w:r>
      <w:r>
        <w:rPr>
          <w:rFonts w:ascii="仿宋" w:hAnsi="仿宋" w:eastAsia="仿宋" w:cs="仿宋"/>
          <w:sz w:val="28"/>
          <w:szCs w:val="28"/>
        </w:rPr>
        <w:t xml:space="preserve"> </w:t>
      </w:r>
      <w:r>
        <w:rPr>
          <w:rFonts w:ascii="仿宋" w:hAnsi="仿宋" w:eastAsia="仿宋" w:cs="仿宋"/>
          <w:spacing w:val="-1"/>
          <w:sz w:val="28"/>
          <w:szCs w:val="28"/>
        </w:rPr>
        <w:t>业务主管单位的指导下成立清算组织，完成清算工作。</w:t>
      </w:r>
    </w:p>
    <w:p w14:paraId="5A1F6078">
      <w:pPr>
        <w:spacing w:before="207" w:line="352" w:lineRule="auto"/>
        <w:ind w:left="36" w:right="59" w:firstLine="556"/>
        <w:rPr>
          <w:rFonts w:ascii="仿宋" w:hAnsi="仿宋" w:eastAsia="仿宋" w:cs="仿宋"/>
          <w:sz w:val="28"/>
          <w:szCs w:val="28"/>
        </w:rPr>
      </w:pPr>
      <w:r>
        <w:rPr>
          <w:rFonts w:ascii="仿宋" w:hAnsi="仿宋" w:eastAsia="仿宋" w:cs="仿宋"/>
          <w:spacing w:val="-4"/>
          <w:sz w:val="28"/>
          <w:szCs w:val="28"/>
        </w:rPr>
        <w:t>本基金会应当自清算结束之日起</w:t>
      </w:r>
      <w:r>
        <w:rPr>
          <w:rFonts w:ascii="仿宋" w:hAnsi="仿宋" w:eastAsia="仿宋" w:cs="仿宋"/>
          <w:spacing w:val="-39"/>
          <w:sz w:val="28"/>
          <w:szCs w:val="28"/>
        </w:rPr>
        <w:t xml:space="preserve"> </w:t>
      </w:r>
      <w:r>
        <w:rPr>
          <w:rFonts w:ascii="仿宋" w:hAnsi="仿宋" w:eastAsia="仿宋" w:cs="仿宋"/>
          <w:spacing w:val="-4"/>
          <w:sz w:val="28"/>
          <w:szCs w:val="28"/>
        </w:rPr>
        <w:t>15 日内向登记管理机</w:t>
      </w:r>
      <w:r>
        <w:rPr>
          <w:rFonts w:ascii="仿宋" w:hAnsi="仿宋" w:eastAsia="仿宋" w:cs="仿宋"/>
          <w:spacing w:val="-5"/>
          <w:sz w:val="28"/>
          <w:szCs w:val="28"/>
        </w:rPr>
        <w:t>关办理注</w:t>
      </w:r>
      <w:r>
        <w:rPr>
          <w:rFonts w:ascii="仿宋" w:hAnsi="仿宋" w:eastAsia="仿宋" w:cs="仿宋"/>
          <w:sz w:val="28"/>
          <w:szCs w:val="28"/>
        </w:rPr>
        <w:t xml:space="preserve"> </w:t>
      </w:r>
      <w:r>
        <w:rPr>
          <w:rFonts w:ascii="仿宋" w:hAnsi="仿宋" w:eastAsia="仿宋" w:cs="仿宋"/>
          <w:spacing w:val="-2"/>
          <w:sz w:val="28"/>
          <w:szCs w:val="28"/>
        </w:rPr>
        <w:t>销登记；在清算期间不开展清算以外的活动。</w:t>
      </w:r>
    </w:p>
    <w:p w14:paraId="4DB92DAB">
      <w:pPr>
        <w:spacing w:before="212" w:line="354" w:lineRule="auto"/>
        <w:ind w:left="32" w:right="54" w:firstLine="571"/>
        <w:rPr>
          <w:rFonts w:ascii="仿宋" w:hAnsi="仿宋" w:eastAsia="仿宋" w:cs="仿宋"/>
          <w:sz w:val="28"/>
          <w:szCs w:val="28"/>
        </w:rPr>
      </w:pPr>
      <w:r>
        <w:rPr>
          <w:rFonts w:ascii="仿宋" w:hAnsi="仿宋" w:eastAsia="仿宋" w:cs="仿宋"/>
          <w:b/>
          <w:bCs/>
          <w:spacing w:val="-2"/>
          <w:sz w:val="28"/>
          <w:szCs w:val="28"/>
        </w:rPr>
        <w:t>第五十七条</w:t>
      </w:r>
      <w:r>
        <w:rPr>
          <w:rFonts w:ascii="仿宋" w:hAnsi="仿宋" w:eastAsia="仿宋" w:cs="仿宋"/>
          <w:spacing w:val="-2"/>
          <w:sz w:val="28"/>
          <w:szCs w:val="28"/>
        </w:rPr>
        <w:t xml:space="preserve"> 本基金会注销后的剩余财产，应当在业务主管单位</w:t>
      </w:r>
      <w:r>
        <w:rPr>
          <w:rFonts w:ascii="仿宋" w:hAnsi="仿宋" w:eastAsia="仿宋" w:cs="仿宋"/>
          <w:spacing w:val="16"/>
          <w:sz w:val="28"/>
          <w:szCs w:val="28"/>
        </w:rPr>
        <w:t xml:space="preserve"> </w:t>
      </w:r>
      <w:r>
        <w:rPr>
          <w:rFonts w:ascii="仿宋" w:hAnsi="仿宋" w:eastAsia="仿宋" w:cs="仿宋"/>
          <w:spacing w:val="-1"/>
          <w:sz w:val="28"/>
          <w:szCs w:val="28"/>
        </w:rPr>
        <w:t>和登记管理机关的监督下，通过以下方式用于公益目的：</w:t>
      </w:r>
    </w:p>
    <w:p w14:paraId="587ED23A">
      <w:pPr>
        <w:spacing w:before="209" w:line="223" w:lineRule="auto"/>
        <w:ind w:left="592"/>
        <w:rPr>
          <w:rFonts w:ascii="仿宋" w:hAnsi="仿宋" w:eastAsia="仿宋" w:cs="仿宋"/>
          <w:sz w:val="28"/>
          <w:szCs w:val="28"/>
        </w:rPr>
      </w:pPr>
      <w:r>
        <w:rPr>
          <w:rFonts w:ascii="仿宋" w:hAnsi="仿宋" w:eastAsia="仿宋" w:cs="仿宋"/>
          <w:spacing w:val="-1"/>
          <w:sz w:val="28"/>
          <w:szCs w:val="28"/>
        </w:rPr>
        <w:t>（一）资助本基金会已经开展的公益项目和公益活动；</w:t>
      </w:r>
    </w:p>
    <w:p w14:paraId="11EABDCA">
      <w:pPr>
        <w:spacing w:line="288" w:lineRule="auto"/>
        <w:rPr>
          <w:rFonts w:ascii="Arial"/>
          <w:sz w:val="21"/>
        </w:rPr>
      </w:pPr>
    </w:p>
    <w:p w14:paraId="1B1EAD56">
      <w:pPr>
        <w:spacing w:before="91" w:line="222" w:lineRule="auto"/>
        <w:ind w:left="592"/>
        <w:rPr>
          <w:rFonts w:ascii="仿宋" w:hAnsi="仿宋" w:eastAsia="仿宋" w:cs="仿宋"/>
          <w:sz w:val="28"/>
          <w:szCs w:val="28"/>
        </w:rPr>
      </w:pPr>
      <w:r>
        <w:rPr>
          <w:rFonts w:ascii="仿宋" w:hAnsi="仿宋" w:eastAsia="仿宋" w:cs="仿宋"/>
          <w:spacing w:val="-1"/>
          <w:sz w:val="28"/>
          <w:szCs w:val="28"/>
        </w:rPr>
        <w:t>（二）资助业务主管单位组织实施的公益项目和公益活动；</w:t>
      </w:r>
    </w:p>
    <w:p w14:paraId="3338A3CB">
      <w:pPr>
        <w:spacing w:line="291" w:lineRule="auto"/>
        <w:rPr>
          <w:rFonts w:ascii="Arial"/>
          <w:sz w:val="21"/>
        </w:rPr>
      </w:pPr>
    </w:p>
    <w:p w14:paraId="61CB4208">
      <w:pPr>
        <w:spacing w:before="91" w:line="223" w:lineRule="auto"/>
        <w:ind w:left="592"/>
        <w:rPr>
          <w:rFonts w:ascii="仿宋" w:hAnsi="仿宋" w:eastAsia="仿宋" w:cs="仿宋"/>
          <w:sz w:val="28"/>
          <w:szCs w:val="28"/>
        </w:rPr>
      </w:pPr>
      <w:r>
        <w:rPr>
          <w:rFonts w:ascii="仿宋" w:hAnsi="仿宋" w:eastAsia="仿宋" w:cs="仿宋"/>
          <w:spacing w:val="-1"/>
          <w:sz w:val="28"/>
          <w:szCs w:val="28"/>
        </w:rPr>
        <w:t>（三）资助登记管理机关组织实施的公益项目和公益活动。</w:t>
      </w:r>
    </w:p>
    <w:p w14:paraId="72161B69">
      <w:pPr>
        <w:spacing w:line="290" w:lineRule="auto"/>
        <w:rPr>
          <w:rFonts w:ascii="Arial"/>
          <w:sz w:val="21"/>
        </w:rPr>
      </w:pPr>
    </w:p>
    <w:p w14:paraId="7DDFC835">
      <w:pPr>
        <w:spacing w:before="92" w:line="353" w:lineRule="auto"/>
        <w:ind w:left="41" w:right="13" w:firstLine="553"/>
        <w:rPr>
          <w:rFonts w:ascii="仿宋" w:hAnsi="仿宋" w:eastAsia="仿宋" w:cs="仿宋"/>
          <w:sz w:val="28"/>
          <w:szCs w:val="28"/>
        </w:rPr>
      </w:pPr>
      <w:r>
        <w:rPr>
          <w:rFonts w:ascii="仿宋" w:hAnsi="仿宋" w:eastAsia="仿宋" w:cs="仿宋"/>
          <w:spacing w:val="-4"/>
          <w:sz w:val="28"/>
          <w:szCs w:val="28"/>
        </w:rPr>
        <w:t>无法按照上述方式处理的，由登记管理机关组织捐赠给</w:t>
      </w:r>
      <w:r>
        <w:rPr>
          <w:rFonts w:ascii="仿宋" w:hAnsi="仿宋" w:eastAsia="仿宋" w:cs="仿宋"/>
          <w:spacing w:val="-5"/>
          <w:sz w:val="28"/>
          <w:szCs w:val="28"/>
        </w:rPr>
        <w:t>与本基金</w:t>
      </w:r>
      <w:r>
        <w:rPr>
          <w:rFonts w:ascii="仿宋" w:hAnsi="仿宋" w:eastAsia="仿宋" w:cs="仿宋"/>
          <w:sz w:val="28"/>
          <w:szCs w:val="28"/>
        </w:rPr>
        <w:t xml:space="preserve"> </w:t>
      </w:r>
      <w:r>
        <w:rPr>
          <w:rFonts w:ascii="仿宋" w:hAnsi="仿宋" w:eastAsia="仿宋" w:cs="仿宋"/>
          <w:spacing w:val="-2"/>
          <w:sz w:val="28"/>
          <w:szCs w:val="28"/>
        </w:rPr>
        <w:t>会性质、宗旨相同的社会公益组织，并向社会公告。</w:t>
      </w:r>
    </w:p>
    <w:p w14:paraId="4CD3357C">
      <w:pPr>
        <w:spacing w:line="353" w:lineRule="auto"/>
        <w:rPr>
          <w:rFonts w:ascii="仿宋" w:hAnsi="仿宋" w:eastAsia="仿宋" w:cs="仿宋"/>
          <w:sz w:val="28"/>
          <w:szCs w:val="28"/>
        </w:rPr>
        <w:sectPr>
          <w:footerReference r:id="rId18" w:type="default"/>
          <w:pgSz w:w="11906" w:h="16839"/>
          <w:pgMar w:top="400" w:right="1785" w:bottom="1151" w:left="1785" w:header="0" w:footer="989" w:gutter="0"/>
          <w:pgNumType w:fmt="decimal"/>
          <w:cols w:space="720" w:num="1"/>
        </w:sectPr>
      </w:pPr>
    </w:p>
    <w:p w14:paraId="6DB8A01F">
      <w:pPr>
        <w:spacing w:line="286" w:lineRule="auto"/>
        <w:rPr>
          <w:rFonts w:ascii="Arial"/>
          <w:sz w:val="21"/>
        </w:rPr>
      </w:pPr>
    </w:p>
    <w:p w14:paraId="72E95447">
      <w:pPr>
        <w:spacing w:line="287" w:lineRule="auto"/>
        <w:rPr>
          <w:rFonts w:ascii="Arial"/>
          <w:sz w:val="21"/>
        </w:rPr>
      </w:pPr>
    </w:p>
    <w:p w14:paraId="568814FE">
      <w:pPr>
        <w:spacing w:line="287" w:lineRule="auto"/>
        <w:rPr>
          <w:rFonts w:ascii="Arial"/>
          <w:sz w:val="21"/>
        </w:rPr>
      </w:pPr>
    </w:p>
    <w:p w14:paraId="7ADEC101">
      <w:pPr>
        <w:spacing w:line="287" w:lineRule="auto"/>
        <w:rPr>
          <w:rFonts w:ascii="Arial"/>
          <w:sz w:val="21"/>
        </w:rPr>
      </w:pPr>
    </w:p>
    <w:p w14:paraId="108D7C6C">
      <w:pPr>
        <w:spacing w:before="91" w:line="359" w:lineRule="auto"/>
        <w:ind w:left="34" w:right="80" w:firstLine="569"/>
        <w:jc w:val="both"/>
        <w:rPr>
          <w:rFonts w:ascii="仿宋" w:hAnsi="仿宋" w:eastAsia="仿宋" w:cs="仿宋"/>
          <w:sz w:val="28"/>
          <w:szCs w:val="28"/>
        </w:rPr>
      </w:pPr>
      <w:r>
        <w:rPr>
          <w:rFonts w:ascii="仿宋" w:hAnsi="仿宋" w:eastAsia="仿宋" w:cs="仿宋"/>
          <w:b/>
          <w:bCs/>
          <w:spacing w:val="-2"/>
          <w:sz w:val="28"/>
          <w:szCs w:val="28"/>
        </w:rPr>
        <w:t>第五十八条</w:t>
      </w:r>
      <w:r>
        <w:rPr>
          <w:rFonts w:ascii="仿宋" w:hAnsi="仿宋" w:eastAsia="仿宋" w:cs="仿宋"/>
          <w:spacing w:val="-2"/>
          <w:sz w:val="28"/>
          <w:szCs w:val="28"/>
        </w:rPr>
        <w:t xml:space="preserve"> 清算后的剩余财产，应当按照章程的规定转给宗旨</w:t>
      </w:r>
      <w:r>
        <w:rPr>
          <w:rFonts w:ascii="仿宋" w:hAnsi="仿宋" w:eastAsia="仿宋" w:cs="仿宋"/>
          <w:spacing w:val="16"/>
          <w:sz w:val="28"/>
          <w:szCs w:val="28"/>
        </w:rPr>
        <w:t xml:space="preserve"> </w:t>
      </w:r>
      <w:r>
        <w:rPr>
          <w:rFonts w:ascii="仿宋" w:hAnsi="仿宋" w:eastAsia="仿宋" w:cs="仿宋"/>
          <w:spacing w:val="-4"/>
          <w:sz w:val="28"/>
          <w:szCs w:val="28"/>
        </w:rPr>
        <w:t>相同或者相似的慈善组织，章程未规定的，由民政部门转给相同或者</w:t>
      </w:r>
      <w:r>
        <w:rPr>
          <w:rFonts w:ascii="仿宋" w:hAnsi="仿宋" w:eastAsia="仿宋" w:cs="仿宋"/>
          <w:spacing w:val="4"/>
          <w:sz w:val="28"/>
          <w:szCs w:val="28"/>
        </w:rPr>
        <w:t xml:space="preserve"> </w:t>
      </w:r>
      <w:r>
        <w:rPr>
          <w:rFonts w:ascii="仿宋" w:hAnsi="仿宋" w:eastAsia="仿宋" w:cs="仿宋"/>
          <w:spacing w:val="-2"/>
          <w:sz w:val="28"/>
          <w:szCs w:val="28"/>
        </w:rPr>
        <w:t>相近的慈善组织，并向社会公告。</w:t>
      </w:r>
    </w:p>
    <w:p w14:paraId="38690A1A">
      <w:pPr>
        <w:spacing w:before="210" w:line="355" w:lineRule="auto"/>
        <w:ind w:left="603" w:right="3133" w:firstLine="2471"/>
        <w:rPr>
          <w:rFonts w:ascii="仿宋" w:hAnsi="仿宋" w:eastAsia="仿宋" w:cs="仿宋"/>
          <w:sz w:val="28"/>
          <w:szCs w:val="28"/>
        </w:rPr>
      </w:pPr>
      <w:r>
        <w:rPr>
          <w:rFonts w:ascii="黑体" w:hAnsi="黑体" w:eastAsia="黑体" w:cs="黑体"/>
          <w:b/>
          <w:bCs/>
          <w:spacing w:val="-7"/>
          <w:sz w:val="28"/>
          <w:szCs w:val="28"/>
        </w:rPr>
        <w:t>第六章</w:t>
      </w:r>
      <w:r>
        <w:rPr>
          <w:rFonts w:ascii="黑体" w:hAnsi="黑体" w:eastAsia="黑体" w:cs="黑体"/>
          <w:spacing w:val="119"/>
          <w:sz w:val="28"/>
          <w:szCs w:val="28"/>
        </w:rPr>
        <w:t xml:space="preserve"> </w:t>
      </w:r>
      <w:r>
        <w:rPr>
          <w:rFonts w:ascii="黑体" w:hAnsi="黑体" w:eastAsia="黑体" w:cs="黑体"/>
          <w:b/>
          <w:bCs/>
          <w:spacing w:val="-7"/>
          <w:sz w:val="28"/>
          <w:szCs w:val="28"/>
        </w:rPr>
        <w:t>党建工作</w:t>
      </w:r>
      <w:r>
        <w:rPr>
          <w:rFonts w:ascii="黑体" w:hAnsi="黑体" w:eastAsia="黑体" w:cs="黑体"/>
          <w:sz w:val="28"/>
          <w:szCs w:val="28"/>
        </w:rPr>
        <w:t xml:space="preserve"> </w:t>
      </w:r>
      <w:r>
        <w:rPr>
          <w:rFonts w:ascii="仿宋" w:hAnsi="仿宋" w:eastAsia="仿宋" w:cs="仿宋"/>
          <w:b/>
          <w:bCs/>
          <w:spacing w:val="-3"/>
          <w:sz w:val="28"/>
          <w:szCs w:val="28"/>
        </w:rPr>
        <w:t>第五十九条</w:t>
      </w:r>
      <w:r>
        <w:rPr>
          <w:rFonts w:ascii="仿宋" w:hAnsi="仿宋" w:eastAsia="仿宋" w:cs="仿宋"/>
          <w:spacing w:val="-3"/>
          <w:sz w:val="28"/>
          <w:szCs w:val="28"/>
        </w:rPr>
        <w:t xml:space="preserve"> 党组织设立与职责</w:t>
      </w:r>
    </w:p>
    <w:p w14:paraId="5D63DF7F">
      <w:pPr>
        <w:spacing w:before="201" w:line="295" w:lineRule="auto"/>
        <w:ind w:left="33" w:right="80" w:firstLine="558"/>
        <w:rPr>
          <w:rFonts w:ascii="仿宋" w:hAnsi="仿宋" w:eastAsia="仿宋" w:cs="仿宋"/>
          <w:sz w:val="28"/>
          <w:szCs w:val="28"/>
        </w:rPr>
      </w:pPr>
      <w:r>
        <w:rPr>
          <w:rFonts w:ascii="仿宋" w:hAnsi="仿宋" w:eastAsia="仿宋" w:cs="仿宋"/>
          <w:spacing w:val="-4"/>
          <w:sz w:val="28"/>
          <w:szCs w:val="28"/>
        </w:rPr>
        <w:t>（一）设立党组织：基金会应依法设立中国共产党的党组织，确</w:t>
      </w:r>
      <w:r>
        <w:rPr>
          <w:rFonts w:ascii="仿宋" w:hAnsi="仿宋" w:eastAsia="仿宋" w:cs="仿宋"/>
          <w:sz w:val="28"/>
          <w:szCs w:val="28"/>
        </w:rPr>
        <w:t xml:space="preserve"> </w:t>
      </w:r>
      <w:r>
        <w:rPr>
          <w:rFonts w:ascii="仿宋" w:hAnsi="仿宋" w:eastAsia="仿宋" w:cs="仿宋"/>
          <w:spacing w:val="-1"/>
          <w:sz w:val="28"/>
          <w:szCs w:val="28"/>
        </w:rPr>
        <w:t>保党组织的政治核心作用，并保障其参与基金会重大决策的权利。</w:t>
      </w:r>
    </w:p>
    <w:p w14:paraId="7349DFB9">
      <w:pPr>
        <w:spacing w:line="297" w:lineRule="auto"/>
        <w:rPr>
          <w:rFonts w:ascii="Arial"/>
          <w:sz w:val="21"/>
        </w:rPr>
      </w:pPr>
    </w:p>
    <w:p w14:paraId="77850A89">
      <w:pPr>
        <w:spacing w:before="91" w:line="332" w:lineRule="auto"/>
        <w:ind w:left="33" w:firstLine="558"/>
        <w:rPr>
          <w:rFonts w:ascii="仿宋" w:hAnsi="仿宋" w:eastAsia="仿宋" w:cs="仿宋"/>
          <w:sz w:val="28"/>
          <w:szCs w:val="28"/>
        </w:rPr>
      </w:pPr>
      <w:r>
        <w:rPr>
          <w:rFonts w:ascii="仿宋" w:hAnsi="仿宋" w:eastAsia="仿宋" w:cs="仿宋"/>
          <w:spacing w:val="-11"/>
          <w:sz w:val="28"/>
          <w:szCs w:val="28"/>
        </w:rPr>
        <w:t>（二）党组织职责：党组织应宣传和执行党的路线、方针、政策，</w:t>
      </w:r>
      <w:r>
        <w:rPr>
          <w:rFonts w:ascii="仿宋" w:hAnsi="仿宋" w:eastAsia="仿宋" w:cs="仿宋"/>
          <w:spacing w:val="6"/>
          <w:sz w:val="28"/>
          <w:szCs w:val="28"/>
        </w:rPr>
        <w:t xml:space="preserve"> </w:t>
      </w:r>
      <w:r>
        <w:rPr>
          <w:rFonts w:ascii="仿宋" w:hAnsi="仿宋" w:eastAsia="仿宋" w:cs="仿宋"/>
          <w:spacing w:val="-1"/>
          <w:sz w:val="28"/>
          <w:szCs w:val="28"/>
        </w:rPr>
        <w:t>保证基金会遵守国家法律法规，维护基金会的正确发展方向</w:t>
      </w:r>
      <w:r>
        <w:rPr>
          <w:rFonts w:ascii="仿宋" w:hAnsi="仿宋" w:eastAsia="仿宋" w:cs="仿宋"/>
          <w:spacing w:val="-2"/>
          <w:sz w:val="28"/>
          <w:szCs w:val="28"/>
        </w:rPr>
        <w:t>。同时，</w:t>
      </w:r>
      <w:r>
        <w:rPr>
          <w:rFonts w:ascii="仿宋" w:hAnsi="仿宋" w:eastAsia="仿宋" w:cs="仿宋"/>
          <w:sz w:val="28"/>
          <w:szCs w:val="28"/>
        </w:rPr>
        <w:t xml:space="preserve"> </w:t>
      </w:r>
      <w:r>
        <w:rPr>
          <w:rFonts w:ascii="仿宋" w:hAnsi="仿宋" w:eastAsia="仿宋" w:cs="仿宋"/>
          <w:spacing w:val="-4"/>
          <w:sz w:val="28"/>
          <w:szCs w:val="28"/>
        </w:rPr>
        <w:t>党组织应加强对基金会党员的教育、管理和监督，提高党员的政治素</w:t>
      </w:r>
      <w:r>
        <w:rPr>
          <w:rFonts w:ascii="仿宋" w:hAnsi="仿宋" w:eastAsia="仿宋" w:cs="仿宋"/>
          <w:spacing w:val="5"/>
          <w:sz w:val="28"/>
          <w:szCs w:val="28"/>
        </w:rPr>
        <w:t xml:space="preserve"> </w:t>
      </w:r>
      <w:r>
        <w:rPr>
          <w:rFonts w:ascii="仿宋" w:hAnsi="仿宋" w:eastAsia="仿宋" w:cs="仿宋"/>
          <w:spacing w:val="-3"/>
          <w:sz w:val="28"/>
          <w:szCs w:val="28"/>
        </w:rPr>
        <w:t>质和业务能力。</w:t>
      </w:r>
    </w:p>
    <w:p w14:paraId="5A610A23">
      <w:pPr>
        <w:spacing w:line="290" w:lineRule="auto"/>
        <w:rPr>
          <w:rFonts w:ascii="Arial"/>
          <w:sz w:val="21"/>
        </w:rPr>
      </w:pPr>
    </w:p>
    <w:p w14:paraId="10B01A5E">
      <w:pPr>
        <w:spacing w:before="91" w:line="223" w:lineRule="auto"/>
        <w:ind w:left="603"/>
        <w:rPr>
          <w:rFonts w:ascii="仿宋" w:hAnsi="仿宋" w:eastAsia="仿宋" w:cs="仿宋"/>
          <w:sz w:val="28"/>
          <w:szCs w:val="28"/>
        </w:rPr>
      </w:pPr>
      <w:r>
        <w:rPr>
          <w:rFonts w:ascii="仿宋" w:hAnsi="仿宋" w:eastAsia="仿宋" w:cs="仿宋"/>
          <w:b/>
          <w:bCs/>
          <w:spacing w:val="-6"/>
          <w:sz w:val="28"/>
          <w:szCs w:val="28"/>
        </w:rPr>
        <w:t>第六十条</w:t>
      </w:r>
      <w:r>
        <w:rPr>
          <w:rFonts w:ascii="仿宋" w:hAnsi="仿宋" w:eastAsia="仿宋" w:cs="仿宋"/>
          <w:spacing w:val="28"/>
          <w:sz w:val="28"/>
          <w:szCs w:val="28"/>
        </w:rPr>
        <w:t xml:space="preserve"> </w:t>
      </w:r>
      <w:r>
        <w:rPr>
          <w:rFonts w:ascii="仿宋" w:hAnsi="仿宋" w:eastAsia="仿宋" w:cs="仿宋"/>
          <w:spacing w:val="-6"/>
          <w:sz w:val="28"/>
          <w:szCs w:val="28"/>
        </w:rPr>
        <w:t>党员管理与教育</w:t>
      </w:r>
    </w:p>
    <w:p w14:paraId="5F911759">
      <w:pPr>
        <w:spacing w:line="289" w:lineRule="auto"/>
        <w:rPr>
          <w:rFonts w:ascii="Arial"/>
          <w:sz w:val="21"/>
        </w:rPr>
      </w:pPr>
    </w:p>
    <w:p w14:paraId="49606F21">
      <w:pPr>
        <w:spacing w:before="91" w:line="320" w:lineRule="auto"/>
        <w:ind w:left="36" w:right="80" w:firstLine="556"/>
        <w:rPr>
          <w:rFonts w:ascii="仿宋" w:hAnsi="仿宋" w:eastAsia="仿宋" w:cs="仿宋"/>
          <w:sz w:val="28"/>
          <w:szCs w:val="28"/>
        </w:rPr>
      </w:pPr>
      <w:r>
        <w:rPr>
          <w:rFonts w:ascii="仿宋" w:hAnsi="仿宋" w:eastAsia="仿宋" w:cs="仿宋"/>
          <w:spacing w:val="-4"/>
          <w:sz w:val="28"/>
          <w:szCs w:val="28"/>
        </w:rPr>
        <w:t>（一）党员发展：基金会应按照党章规定，严格党员标准，确保</w:t>
      </w:r>
      <w:r>
        <w:rPr>
          <w:rFonts w:ascii="仿宋" w:hAnsi="仿宋" w:eastAsia="仿宋" w:cs="仿宋"/>
          <w:sz w:val="28"/>
          <w:szCs w:val="28"/>
        </w:rPr>
        <w:t xml:space="preserve"> </w:t>
      </w:r>
      <w:r>
        <w:rPr>
          <w:rFonts w:ascii="仿宋" w:hAnsi="仿宋" w:eastAsia="仿宋" w:cs="仿宋"/>
          <w:spacing w:val="-4"/>
          <w:sz w:val="28"/>
          <w:szCs w:val="28"/>
        </w:rPr>
        <w:t>党员队伍的先进性和纯洁性。党员发展应遵循公平、公正、公开的原</w:t>
      </w:r>
      <w:r>
        <w:rPr>
          <w:rFonts w:ascii="仿宋" w:hAnsi="仿宋" w:eastAsia="仿宋" w:cs="仿宋"/>
          <w:spacing w:val="3"/>
          <w:sz w:val="28"/>
          <w:szCs w:val="28"/>
        </w:rPr>
        <w:t xml:space="preserve"> </w:t>
      </w:r>
      <w:r>
        <w:rPr>
          <w:rFonts w:ascii="仿宋" w:hAnsi="仿宋" w:eastAsia="仿宋" w:cs="仿宋"/>
          <w:spacing w:val="-1"/>
          <w:sz w:val="28"/>
          <w:szCs w:val="28"/>
        </w:rPr>
        <w:t>则，注重培养和发展优秀青年和业务骨干入党。</w:t>
      </w:r>
    </w:p>
    <w:p w14:paraId="4C09199E">
      <w:pPr>
        <w:spacing w:line="294" w:lineRule="auto"/>
        <w:rPr>
          <w:rFonts w:ascii="Arial"/>
          <w:sz w:val="21"/>
        </w:rPr>
      </w:pPr>
    </w:p>
    <w:p w14:paraId="75B655AC">
      <w:pPr>
        <w:spacing w:before="91" w:line="321" w:lineRule="auto"/>
        <w:ind w:left="38" w:right="80" w:firstLine="554"/>
        <w:rPr>
          <w:rFonts w:ascii="仿宋" w:hAnsi="仿宋" w:eastAsia="仿宋" w:cs="仿宋"/>
          <w:sz w:val="28"/>
          <w:szCs w:val="28"/>
        </w:rPr>
      </w:pPr>
      <w:r>
        <w:rPr>
          <w:rFonts w:ascii="仿宋" w:hAnsi="仿宋" w:eastAsia="仿宋" w:cs="仿宋"/>
          <w:spacing w:val="-4"/>
          <w:sz w:val="28"/>
          <w:szCs w:val="28"/>
        </w:rPr>
        <w:t>（二）教育培训：党组织应定期组织党员参加党的理论学习、业</w:t>
      </w:r>
      <w:r>
        <w:rPr>
          <w:rFonts w:ascii="仿宋" w:hAnsi="仿宋" w:eastAsia="仿宋" w:cs="仿宋"/>
          <w:sz w:val="28"/>
          <w:szCs w:val="28"/>
        </w:rPr>
        <w:t xml:space="preserve"> </w:t>
      </w:r>
      <w:r>
        <w:rPr>
          <w:rFonts w:ascii="仿宋" w:hAnsi="仿宋" w:eastAsia="仿宋" w:cs="仿宋"/>
          <w:spacing w:val="-4"/>
          <w:sz w:val="28"/>
          <w:szCs w:val="28"/>
        </w:rPr>
        <w:t>务培训和社会实践活动，提高党员的政治觉悟、业务能力和社会责任</w:t>
      </w:r>
      <w:r>
        <w:rPr>
          <w:rFonts w:ascii="仿宋" w:hAnsi="仿宋" w:eastAsia="仿宋" w:cs="仿宋"/>
          <w:spacing w:val="1"/>
          <w:sz w:val="28"/>
          <w:szCs w:val="28"/>
        </w:rPr>
        <w:t xml:space="preserve"> </w:t>
      </w:r>
      <w:r>
        <w:rPr>
          <w:rFonts w:ascii="仿宋" w:hAnsi="仿宋" w:eastAsia="仿宋" w:cs="仿宋"/>
          <w:spacing w:val="-12"/>
          <w:sz w:val="28"/>
          <w:szCs w:val="28"/>
        </w:rPr>
        <w:t>感。</w:t>
      </w:r>
    </w:p>
    <w:p w14:paraId="7E0FD813">
      <w:pPr>
        <w:spacing w:line="286" w:lineRule="auto"/>
        <w:rPr>
          <w:rFonts w:ascii="Arial"/>
          <w:sz w:val="21"/>
        </w:rPr>
      </w:pPr>
    </w:p>
    <w:p w14:paraId="16D3DF69">
      <w:pPr>
        <w:spacing w:before="92" w:line="222" w:lineRule="auto"/>
        <w:ind w:left="603"/>
        <w:rPr>
          <w:rFonts w:ascii="仿宋" w:hAnsi="仿宋" w:eastAsia="仿宋" w:cs="仿宋"/>
          <w:sz w:val="28"/>
          <w:szCs w:val="28"/>
        </w:rPr>
      </w:pPr>
      <w:r>
        <w:rPr>
          <w:rFonts w:ascii="仿宋" w:hAnsi="仿宋" w:eastAsia="仿宋" w:cs="仿宋"/>
          <w:b/>
          <w:bCs/>
          <w:spacing w:val="-3"/>
          <w:sz w:val="28"/>
          <w:szCs w:val="28"/>
        </w:rPr>
        <w:t>第六十一条</w:t>
      </w:r>
      <w:r>
        <w:rPr>
          <w:rFonts w:ascii="仿宋" w:hAnsi="仿宋" w:eastAsia="仿宋" w:cs="仿宋"/>
          <w:spacing w:val="-3"/>
          <w:sz w:val="28"/>
          <w:szCs w:val="28"/>
        </w:rPr>
        <w:t xml:space="preserve"> 党建活动与保障</w:t>
      </w:r>
    </w:p>
    <w:p w14:paraId="14917913">
      <w:pPr>
        <w:spacing w:line="289" w:lineRule="auto"/>
        <w:rPr>
          <w:rFonts w:ascii="Arial"/>
          <w:sz w:val="21"/>
        </w:rPr>
      </w:pPr>
    </w:p>
    <w:p w14:paraId="7CF4B460">
      <w:pPr>
        <w:spacing w:before="91" w:line="360" w:lineRule="auto"/>
        <w:ind w:left="33" w:right="80" w:firstLine="558"/>
        <w:jc w:val="both"/>
        <w:rPr>
          <w:rFonts w:ascii="仿宋" w:hAnsi="仿宋" w:eastAsia="仿宋" w:cs="仿宋"/>
          <w:sz w:val="28"/>
          <w:szCs w:val="28"/>
        </w:rPr>
      </w:pPr>
      <w:r>
        <w:rPr>
          <w:rFonts w:ascii="仿宋" w:hAnsi="仿宋" w:eastAsia="仿宋" w:cs="仿宋"/>
          <w:spacing w:val="-4"/>
          <w:sz w:val="28"/>
          <w:szCs w:val="28"/>
        </w:rPr>
        <w:t>（一）活动开展：党组织应创新党建活动形式和内容，结合基金</w:t>
      </w:r>
      <w:r>
        <w:rPr>
          <w:rFonts w:ascii="仿宋" w:hAnsi="仿宋" w:eastAsia="仿宋" w:cs="仿宋"/>
          <w:sz w:val="28"/>
          <w:szCs w:val="28"/>
        </w:rPr>
        <w:t xml:space="preserve"> </w:t>
      </w:r>
      <w:r>
        <w:rPr>
          <w:rFonts w:ascii="仿宋" w:hAnsi="仿宋" w:eastAsia="仿宋" w:cs="仿宋"/>
          <w:spacing w:val="-4"/>
          <w:sz w:val="28"/>
          <w:szCs w:val="28"/>
        </w:rPr>
        <w:t>会实际，组织党员开展志愿服务、公益活动和社会责任项目，增强党</w:t>
      </w:r>
      <w:r>
        <w:rPr>
          <w:rFonts w:ascii="仿宋" w:hAnsi="仿宋" w:eastAsia="仿宋" w:cs="仿宋"/>
          <w:spacing w:val="5"/>
          <w:sz w:val="28"/>
          <w:szCs w:val="28"/>
        </w:rPr>
        <w:t xml:space="preserve"> </w:t>
      </w:r>
      <w:r>
        <w:rPr>
          <w:rFonts w:ascii="仿宋" w:hAnsi="仿宋" w:eastAsia="仿宋" w:cs="仿宋"/>
          <w:spacing w:val="-2"/>
          <w:sz w:val="28"/>
          <w:szCs w:val="28"/>
        </w:rPr>
        <w:t>组织的凝聚力和战斗力。</w:t>
      </w:r>
    </w:p>
    <w:p w14:paraId="69FFD36F">
      <w:pPr>
        <w:spacing w:line="360" w:lineRule="auto"/>
        <w:rPr>
          <w:rFonts w:ascii="仿宋" w:hAnsi="仿宋" w:eastAsia="仿宋" w:cs="仿宋"/>
          <w:sz w:val="28"/>
          <w:szCs w:val="28"/>
        </w:rPr>
        <w:sectPr>
          <w:footerReference r:id="rId19" w:type="default"/>
          <w:pgSz w:w="11906" w:h="16839"/>
          <w:pgMar w:top="400" w:right="1718" w:bottom="1151" w:left="1785" w:header="0" w:footer="989" w:gutter="0"/>
          <w:pgNumType w:fmt="decimal"/>
          <w:cols w:space="720" w:num="1"/>
        </w:sectPr>
      </w:pPr>
    </w:p>
    <w:p w14:paraId="36EBE67C">
      <w:pPr>
        <w:spacing w:line="286" w:lineRule="auto"/>
        <w:rPr>
          <w:rFonts w:ascii="Arial"/>
          <w:sz w:val="21"/>
        </w:rPr>
      </w:pPr>
    </w:p>
    <w:p w14:paraId="4BBA877A">
      <w:pPr>
        <w:spacing w:line="287" w:lineRule="auto"/>
        <w:rPr>
          <w:rFonts w:ascii="Arial"/>
          <w:sz w:val="21"/>
        </w:rPr>
      </w:pPr>
    </w:p>
    <w:p w14:paraId="57540A90">
      <w:pPr>
        <w:spacing w:line="287" w:lineRule="auto"/>
        <w:rPr>
          <w:rFonts w:ascii="Arial"/>
          <w:sz w:val="21"/>
        </w:rPr>
      </w:pPr>
    </w:p>
    <w:p w14:paraId="1DD8247F">
      <w:pPr>
        <w:spacing w:line="287" w:lineRule="auto"/>
        <w:rPr>
          <w:rFonts w:ascii="Arial"/>
          <w:sz w:val="21"/>
        </w:rPr>
      </w:pPr>
    </w:p>
    <w:p w14:paraId="18F3B18A">
      <w:pPr>
        <w:spacing w:before="91" w:line="321" w:lineRule="auto"/>
        <w:ind w:left="39" w:right="13" w:firstLine="552"/>
        <w:rPr>
          <w:rFonts w:ascii="仿宋" w:hAnsi="仿宋" w:eastAsia="仿宋" w:cs="仿宋"/>
          <w:sz w:val="28"/>
          <w:szCs w:val="28"/>
        </w:rPr>
      </w:pPr>
      <w:r>
        <w:rPr>
          <w:rFonts w:ascii="仿宋" w:hAnsi="仿宋" w:eastAsia="仿宋" w:cs="仿宋"/>
          <w:spacing w:val="-4"/>
          <w:sz w:val="28"/>
          <w:szCs w:val="28"/>
        </w:rPr>
        <w:t>（二）经费保障：基金会应为党组织提供必要的经费支持，确保</w:t>
      </w:r>
      <w:r>
        <w:rPr>
          <w:rFonts w:ascii="仿宋" w:hAnsi="仿宋" w:eastAsia="仿宋" w:cs="仿宋"/>
          <w:sz w:val="28"/>
          <w:szCs w:val="28"/>
        </w:rPr>
        <w:t xml:space="preserve"> </w:t>
      </w:r>
      <w:r>
        <w:rPr>
          <w:rFonts w:ascii="仿宋" w:hAnsi="仿宋" w:eastAsia="仿宋" w:cs="仿宋"/>
          <w:spacing w:val="-4"/>
          <w:sz w:val="28"/>
          <w:szCs w:val="28"/>
        </w:rPr>
        <w:t>党建活动的正常开展和党组织的正常运转。经费使用应遵循公开、透</w:t>
      </w:r>
      <w:r>
        <w:rPr>
          <w:rFonts w:ascii="仿宋" w:hAnsi="仿宋" w:eastAsia="仿宋" w:cs="仿宋"/>
          <w:sz w:val="28"/>
          <w:szCs w:val="28"/>
        </w:rPr>
        <w:t xml:space="preserve"> </w:t>
      </w:r>
      <w:r>
        <w:rPr>
          <w:rFonts w:ascii="仿宋" w:hAnsi="仿宋" w:eastAsia="仿宋" w:cs="仿宋"/>
          <w:spacing w:val="-4"/>
          <w:sz w:val="28"/>
          <w:szCs w:val="28"/>
        </w:rPr>
        <w:t>明、合理的原则。</w:t>
      </w:r>
    </w:p>
    <w:p w14:paraId="112C3854">
      <w:pPr>
        <w:spacing w:line="286" w:lineRule="auto"/>
        <w:rPr>
          <w:rFonts w:ascii="Arial"/>
          <w:sz w:val="21"/>
        </w:rPr>
      </w:pPr>
    </w:p>
    <w:p w14:paraId="19C9315A">
      <w:pPr>
        <w:spacing w:before="91" w:line="297" w:lineRule="auto"/>
        <w:ind w:left="46" w:right="13" w:firstLine="545"/>
        <w:rPr>
          <w:rFonts w:ascii="仿宋" w:hAnsi="仿宋" w:eastAsia="仿宋" w:cs="仿宋"/>
          <w:sz w:val="28"/>
          <w:szCs w:val="28"/>
        </w:rPr>
      </w:pPr>
      <w:r>
        <w:rPr>
          <w:rFonts w:ascii="仿宋" w:hAnsi="仿宋" w:eastAsia="仿宋" w:cs="仿宋"/>
          <w:spacing w:val="-4"/>
          <w:sz w:val="28"/>
          <w:szCs w:val="28"/>
        </w:rPr>
        <w:t>（三）场地与设施：基金会应为党组织提供必要的场地、设施和</w:t>
      </w:r>
      <w:r>
        <w:rPr>
          <w:rFonts w:ascii="仿宋" w:hAnsi="仿宋" w:eastAsia="仿宋" w:cs="仿宋"/>
          <w:sz w:val="28"/>
          <w:szCs w:val="28"/>
        </w:rPr>
        <w:t xml:space="preserve"> </w:t>
      </w:r>
      <w:r>
        <w:rPr>
          <w:rFonts w:ascii="仿宋" w:hAnsi="仿宋" w:eastAsia="仿宋" w:cs="仿宋"/>
          <w:spacing w:val="-2"/>
          <w:sz w:val="28"/>
          <w:szCs w:val="28"/>
        </w:rPr>
        <w:t>资源支持，为党建活动的开展提供便利条件。</w:t>
      </w:r>
    </w:p>
    <w:p w14:paraId="2EC8564E">
      <w:pPr>
        <w:spacing w:line="289" w:lineRule="auto"/>
        <w:rPr>
          <w:rFonts w:ascii="Arial"/>
          <w:sz w:val="21"/>
        </w:rPr>
      </w:pPr>
    </w:p>
    <w:p w14:paraId="0F3963AD">
      <w:pPr>
        <w:spacing w:before="91" w:line="222" w:lineRule="auto"/>
        <w:ind w:left="603"/>
        <w:rPr>
          <w:rFonts w:ascii="仿宋" w:hAnsi="仿宋" w:eastAsia="仿宋" w:cs="仿宋"/>
          <w:sz w:val="28"/>
          <w:szCs w:val="28"/>
        </w:rPr>
      </w:pPr>
      <w:r>
        <w:rPr>
          <w:rFonts w:ascii="仿宋" w:hAnsi="仿宋" w:eastAsia="仿宋" w:cs="仿宋"/>
          <w:b/>
          <w:bCs/>
          <w:spacing w:val="-3"/>
          <w:sz w:val="28"/>
          <w:szCs w:val="28"/>
        </w:rPr>
        <w:t>第六十二条</w:t>
      </w:r>
      <w:r>
        <w:rPr>
          <w:rFonts w:ascii="仿宋" w:hAnsi="仿宋" w:eastAsia="仿宋" w:cs="仿宋"/>
          <w:spacing w:val="-3"/>
          <w:sz w:val="28"/>
          <w:szCs w:val="28"/>
        </w:rPr>
        <w:t xml:space="preserve"> 党组织与其他组织机构的协调</w:t>
      </w:r>
    </w:p>
    <w:p w14:paraId="38DC5925">
      <w:pPr>
        <w:spacing w:line="290" w:lineRule="auto"/>
        <w:rPr>
          <w:rFonts w:ascii="Arial"/>
          <w:sz w:val="21"/>
        </w:rPr>
      </w:pPr>
    </w:p>
    <w:p w14:paraId="79EEAA4C">
      <w:pPr>
        <w:spacing w:before="91" w:line="295" w:lineRule="auto"/>
        <w:ind w:left="61" w:right="13" w:firstLine="531"/>
        <w:rPr>
          <w:rFonts w:ascii="仿宋" w:hAnsi="仿宋" w:eastAsia="仿宋" w:cs="仿宋"/>
          <w:sz w:val="28"/>
          <w:szCs w:val="28"/>
        </w:rPr>
      </w:pPr>
      <w:r>
        <w:rPr>
          <w:rFonts w:ascii="仿宋" w:hAnsi="仿宋" w:eastAsia="仿宋" w:cs="仿宋"/>
          <w:spacing w:val="-4"/>
          <w:sz w:val="28"/>
          <w:szCs w:val="28"/>
        </w:rPr>
        <w:t>（一）决策参与：党组织应参与基金会重大事项的决策过程，提</w:t>
      </w:r>
      <w:r>
        <w:rPr>
          <w:rFonts w:ascii="仿宋" w:hAnsi="仿宋" w:eastAsia="仿宋" w:cs="仿宋"/>
          <w:sz w:val="28"/>
          <w:szCs w:val="28"/>
        </w:rPr>
        <w:t xml:space="preserve"> </w:t>
      </w:r>
      <w:r>
        <w:rPr>
          <w:rFonts w:ascii="仿宋" w:hAnsi="仿宋" w:eastAsia="仿宋" w:cs="仿宋"/>
          <w:spacing w:val="-2"/>
          <w:sz w:val="28"/>
          <w:szCs w:val="28"/>
        </w:rPr>
        <w:t>出意见和建议，确保党的方针政策在基金会中得到贯彻执行。</w:t>
      </w:r>
    </w:p>
    <w:p w14:paraId="62926355">
      <w:pPr>
        <w:spacing w:line="293" w:lineRule="auto"/>
        <w:rPr>
          <w:rFonts w:ascii="Arial"/>
          <w:sz w:val="21"/>
        </w:rPr>
      </w:pPr>
    </w:p>
    <w:p w14:paraId="39D9CF8A">
      <w:pPr>
        <w:spacing w:before="91" w:line="320" w:lineRule="auto"/>
        <w:ind w:left="32" w:right="13" w:firstLine="559"/>
        <w:rPr>
          <w:rFonts w:ascii="仿宋" w:hAnsi="仿宋" w:eastAsia="仿宋" w:cs="仿宋"/>
          <w:sz w:val="28"/>
          <w:szCs w:val="28"/>
        </w:rPr>
      </w:pPr>
      <w:r>
        <w:rPr>
          <w:rFonts w:ascii="仿宋" w:hAnsi="仿宋" w:eastAsia="仿宋" w:cs="仿宋"/>
          <w:spacing w:val="-4"/>
          <w:sz w:val="28"/>
          <w:szCs w:val="28"/>
        </w:rPr>
        <w:t>（二）协调合作：党组织应加强与基金会理事会、监事会等组织</w:t>
      </w:r>
      <w:r>
        <w:rPr>
          <w:rFonts w:ascii="仿宋" w:hAnsi="仿宋" w:eastAsia="仿宋" w:cs="仿宋"/>
          <w:sz w:val="28"/>
          <w:szCs w:val="28"/>
        </w:rPr>
        <w:t xml:space="preserve"> </w:t>
      </w:r>
      <w:r>
        <w:rPr>
          <w:rFonts w:ascii="仿宋" w:hAnsi="仿宋" w:eastAsia="仿宋" w:cs="仿宋"/>
          <w:spacing w:val="-4"/>
          <w:sz w:val="28"/>
          <w:szCs w:val="28"/>
        </w:rPr>
        <w:t>机构的沟通协调，共同推动基金会的发展。在基金会内部形成团结合</w:t>
      </w:r>
      <w:r>
        <w:rPr>
          <w:rFonts w:ascii="仿宋" w:hAnsi="仿宋" w:eastAsia="仿宋" w:cs="仿宋"/>
          <w:spacing w:val="7"/>
          <w:sz w:val="28"/>
          <w:szCs w:val="28"/>
        </w:rPr>
        <w:t xml:space="preserve"> </w:t>
      </w:r>
      <w:r>
        <w:rPr>
          <w:rFonts w:ascii="仿宋" w:hAnsi="仿宋" w:eastAsia="仿宋" w:cs="仿宋"/>
          <w:spacing w:val="-2"/>
          <w:sz w:val="28"/>
          <w:szCs w:val="28"/>
        </w:rPr>
        <w:t>作、相互支持的良好氛围。</w:t>
      </w:r>
    </w:p>
    <w:p w14:paraId="287DAEE3">
      <w:pPr>
        <w:spacing w:line="295" w:lineRule="auto"/>
        <w:rPr>
          <w:rFonts w:ascii="Arial"/>
          <w:sz w:val="21"/>
        </w:rPr>
      </w:pPr>
    </w:p>
    <w:p w14:paraId="5AAB4FA4">
      <w:pPr>
        <w:spacing w:before="91" w:line="222" w:lineRule="auto"/>
        <w:ind w:left="3363"/>
        <w:rPr>
          <w:rFonts w:ascii="黑体" w:hAnsi="黑体" w:eastAsia="黑体" w:cs="黑体"/>
          <w:sz w:val="28"/>
          <w:szCs w:val="28"/>
        </w:rPr>
      </w:pPr>
      <w:r>
        <w:rPr>
          <w:rFonts w:ascii="黑体" w:hAnsi="黑体" w:eastAsia="黑体" w:cs="黑体"/>
          <w:b/>
          <w:bCs/>
          <w:spacing w:val="-4"/>
          <w:sz w:val="28"/>
          <w:szCs w:val="28"/>
        </w:rPr>
        <w:t>第七章</w:t>
      </w:r>
      <w:r>
        <w:rPr>
          <w:rFonts w:ascii="黑体" w:hAnsi="黑体" w:eastAsia="黑体" w:cs="黑体"/>
          <w:spacing w:val="-4"/>
          <w:sz w:val="28"/>
          <w:szCs w:val="28"/>
        </w:rPr>
        <w:t xml:space="preserve"> </w:t>
      </w:r>
      <w:r>
        <w:rPr>
          <w:rFonts w:ascii="黑体" w:hAnsi="黑体" w:eastAsia="黑体" w:cs="黑体"/>
          <w:b/>
          <w:bCs/>
          <w:spacing w:val="-4"/>
          <w:sz w:val="28"/>
          <w:szCs w:val="28"/>
        </w:rPr>
        <w:t>章程修改</w:t>
      </w:r>
    </w:p>
    <w:p w14:paraId="23CA8704">
      <w:pPr>
        <w:spacing w:line="290" w:lineRule="auto"/>
        <w:rPr>
          <w:rFonts w:ascii="Arial"/>
          <w:sz w:val="21"/>
        </w:rPr>
      </w:pPr>
    </w:p>
    <w:p w14:paraId="3DC7ED81">
      <w:pPr>
        <w:spacing w:before="92" w:line="353" w:lineRule="auto"/>
        <w:ind w:left="32" w:right="13" w:firstLine="571"/>
        <w:rPr>
          <w:rFonts w:ascii="仿宋" w:hAnsi="仿宋" w:eastAsia="仿宋" w:cs="仿宋"/>
          <w:sz w:val="28"/>
          <w:szCs w:val="28"/>
        </w:rPr>
      </w:pPr>
      <w:r>
        <w:rPr>
          <w:rFonts w:ascii="仿宋" w:hAnsi="仿宋" w:eastAsia="仿宋" w:cs="仿宋"/>
          <w:b/>
          <w:bCs/>
          <w:spacing w:val="-8"/>
          <w:sz w:val="28"/>
          <w:szCs w:val="28"/>
        </w:rPr>
        <w:t>第六十三条</w:t>
      </w:r>
      <w:r>
        <w:rPr>
          <w:rFonts w:ascii="仿宋" w:hAnsi="仿宋" w:eastAsia="仿宋" w:cs="仿宋"/>
          <w:spacing w:val="-8"/>
          <w:sz w:val="28"/>
          <w:szCs w:val="28"/>
        </w:rPr>
        <w:t xml:space="preserve"> 本章程的修改，须经理事会表决通过后</w:t>
      </w:r>
      <w:r>
        <w:rPr>
          <w:rFonts w:ascii="仿宋" w:hAnsi="仿宋" w:eastAsia="仿宋" w:cs="仿宋"/>
          <w:spacing w:val="-39"/>
          <w:sz w:val="28"/>
          <w:szCs w:val="28"/>
        </w:rPr>
        <w:t xml:space="preserve"> </w:t>
      </w:r>
      <w:r>
        <w:rPr>
          <w:rFonts w:ascii="仿宋" w:hAnsi="仿宋" w:eastAsia="仿宋" w:cs="仿宋"/>
          <w:spacing w:val="-8"/>
          <w:sz w:val="28"/>
          <w:szCs w:val="28"/>
        </w:rPr>
        <w:t>15 日内，报</w:t>
      </w:r>
      <w:r>
        <w:rPr>
          <w:rFonts w:ascii="仿宋" w:hAnsi="仿宋" w:eastAsia="仿宋" w:cs="仿宋"/>
          <w:sz w:val="28"/>
          <w:szCs w:val="28"/>
        </w:rPr>
        <w:t xml:space="preserve"> </w:t>
      </w:r>
      <w:r>
        <w:rPr>
          <w:rFonts w:ascii="仿宋" w:hAnsi="仿宋" w:eastAsia="仿宋" w:cs="仿宋"/>
          <w:spacing w:val="-4"/>
          <w:sz w:val="28"/>
          <w:szCs w:val="28"/>
        </w:rPr>
        <w:t>业务主管单位审查同意。经业务主管单位审查同意后，报登记管理机</w:t>
      </w:r>
    </w:p>
    <w:p w14:paraId="6EE2D849">
      <w:pPr>
        <w:spacing w:line="47" w:lineRule="exact"/>
      </w:pPr>
    </w:p>
    <w:tbl>
      <w:tblPr>
        <w:tblStyle w:val="6"/>
        <w:tblW w:w="8284" w:type="dxa"/>
        <w:tblInd w:w="3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22"/>
        <w:gridCol w:w="6262"/>
      </w:tblGrid>
      <w:tr w14:paraId="361CFB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5" w:hRule="atLeast"/>
        </w:trPr>
        <w:tc>
          <w:tcPr>
            <w:tcW w:w="2022" w:type="dxa"/>
            <w:vAlign w:val="top"/>
          </w:tcPr>
          <w:p w14:paraId="3E37B67D">
            <w:pPr>
              <w:pStyle w:val="7"/>
              <w:spacing w:before="1" w:line="222" w:lineRule="auto"/>
              <w:ind w:left="4"/>
            </w:pPr>
            <w:r>
              <w:rPr>
                <w:spacing w:val="-7"/>
              </w:rPr>
              <w:t>关核准。</w:t>
            </w:r>
          </w:p>
        </w:tc>
        <w:tc>
          <w:tcPr>
            <w:tcW w:w="6262" w:type="dxa"/>
            <w:vAlign w:val="top"/>
          </w:tcPr>
          <w:p w14:paraId="544635B7">
            <w:pPr>
              <w:rPr>
                <w:rFonts w:ascii="Arial"/>
                <w:sz w:val="21"/>
              </w:rPr>
            </w:pPr>
          </w:p>
        </w:tc>
      </w:tr>
      <w:tr w14:paraId="61E8713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0" w:hRule="atLeast"/>
        </w:trPr>
        <w:tc>
          <w:tcPr>
            <w:tcW w:w="2022" w:type="dxa"/>
            <w:vAlign w:val="top"/>
          </w:tcPr>
          <w:p w14:paraId="6DB761ED">
            <w:pPr>
              <w:rPr>
                <w:rFonts w:ascii="Arial"/>
                <w:sz w:val="21"/>
              </w:rPr>
            </w:pPr>
          </w:p>
        </w:tc>
        <w:tc>
          <w:tcPr>
            <w:tcW w:w="6262" w:type="dxa"/>
            <w:vAlign w:val="top"/>
          </w:tcPr>
          <w:p w14:paraId="69EC566B">
            <w:pPr>
              <w:spacing w:before="217" w:line="222" w:lineRule="auto"/>
              <w:ind w:left="1586"/>
              <w:rPr>
                <w:rFonts w:ascii="黑体" w:hAnsi="黑体" w:eastAsia="黑体" w:cs="黑体"/>
                <w:sz w:val="28"/>
                <w:szCs w:val="28"/>
              </w:rPr>
            </w:pPr>
            <w:r>
              <w:rPr>
                <w:rFonts w:ascii="黑体" w:hAnsi="黑体" w:eastAsia="黑体" w:cs="黑体"/>
                <w:b/>
                <w:bCs/>
                <w:spacing w:val="-10"/>
                <w:sz w:val="28"/>
                <w:szCs w:val="28"/>
              </w:rPr>
              <w:t>第八章</w:t>
            </w:r>
            <w:r>
              <w:rPr>
                <w:rFonts w:ascii="黑体" w:hAnsi="黑体" w:eastAsia="黑体" w:cs="黑体"/>
                <w:spacing w:val="29"/>
                <w:sz w:val="28"/>
                <w:szCs w:val="28"/>
              </w:rPr>
              <w:t xml:space="preserve"> </w:t>
            </w:r>
            <w:r>
              <w:rPr>
                <w:rFonts w:ascii="黑体" w:hAnsi="黑体" w:eastAsia="黑体" w:cs="黑体"/>
                <w:b/>
                <w:bCs/>
                <w:spacing w:val="-10"/>
                <w:sz w:val="28"/>
                <w:szCs w:val="28"/>
              </w:rPr>
              <w:t>附则</w:t>
            </w:r>
          </w:p>
        </w:tc>
      </w:tr>
      <w:tr w14:paraId="5DD69C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2" w:hRule="atLeast"/>
        </w:trPr>
        <w:tc>
          <w:tcPr>
            <w:tcW w:w="2022" w:type="dxa"/>
            <w:vAlign w:val="top"/>
          </w:tcPr>
          <w:p w14:paraId="06214FB4">
            <w:pPr>
              <w:pStyle w:val="7"/>
              <w:spacing w:before="217" w:line="223" w:lineRule="auto"/>
              <w:ind w:left="567"/>
            </w:pPr>
            <w:r>
              <w:rPr>
                <w:b/>
                <w:bCs/>
                <w:spacing w:val="-9"/>
              </w:rPr>
              <w:t>第六十四条</w:t>
            </w:r>
          </w:p>
        </w:tc>
        <w:tc>
          <w:tcPr>
            <w:tcW w:w="6262" w:type="dxa"/>
            <w:vAlign w:val="top"/>
          </w:tcPr>
          <w:p w14:paraId="6A26753E">
            <w:pPr>
              <w:pStyle w:val="7"/>
              <w:spacing w:before="217" w:line="223" w:lineRule="auto"/>
              <w:jc w:val="right"/>
            </w:pPr>
            <w:r>
              <w:rPr>
                <w:spacing w:val="-9"/>
              </w:rPr>
              <w:t>本章程经</w:t>
            </w:r>
            <w:r>
              <w:rPr>
                <w:spacing w:val="-71"/>
              </w:rPr>
              <w:t xml:space="preserve"> </w:t>
            </w:r>
            <w:r>
              <w:rPr>
                <w:spacing w:val="-9"/>
              </w:rPr>
              <w:t>2023</w:t>
            </w:r>
            <w:r>
              <w:rPr>
                <w:spacing w:val="-62"/>
              </w:rPr>
              <w:t xml:space="preserve"> </w:t>
            </w:r>
            <w:r>
              <w:rPr>
                <w:spacing w:val="-9"/>
              </w:rPr>
              <w:t>年</w:t>
            </w:r>
            <w:r>
              <w:rPr>
                <w:spacing w:val="-59"/>
              </w:rPr>
              <w:t xml:space="preserve"> </w:t>
            </w:r>
            <w:r>
              <w:rPr>
                <w:spacing w:val="-9"/>
              </w:rPr>
              <w:t>11</w:t>
            </w:r>
            <w:r>
              <w:rPr>
                <w:spacing w:val="-55"/>
              </w:rPr>
              <w:t xml:space="preserve"> </w:t>
            </w:r>
            <w:r>
              <w:rPr>
                <w:spacing w:val="-9"/>
              </w:rPr>
              <w:t>月</w:t>
            </w:r>
            <w:r>
              <w:rPr>
                <w:spacing w:val="-59"/>
              </w:rPr>
              <w:t xml:space="preserve"> </w:t>
            </w:r>
            <w:r>
              <w:rPr>
                <w:spacing w:val="-9"/>
              </w:rPr>
              <w:t>13 日理事会筹备会议表决通</w:t>
            </w:r>
          </w:p>
        </w:tc>
      </w:tr>
      <w:tr w14:paraId="1846E5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1" w:hRule="atLeast"/>
        </w:trPr>
        <w:tc>
          <w:tcPr>
            <w:tcW w:w="2022" w:type="dxa"/>
            <w:vAlign w:val="top"/>
          </w:tcPr>
          <w:p w14:paraId="65A3BD10">
            <w:pPr>
              <w:pStyle w:val="7"/>
              <w:spacing w:before="137" w:line="233" w:lineRule="auto"/>
            </w:pPr>
            <w:r>
              <w:rPr>
                <w:spacing w:val="-11"/>
              </w:rPr>
              <w:t>过。</w:t>
            </w:r>
          </w:p>
        </w:tc>
        <w:tc>
          <w:tcPr>
            <w:tcW w:w="6262" w:type="dxa"/>
            <w:vAlign w:val="top"/>
          </w:tcPr>
          <w:p w14:paraId="5243E3E1">
            <w:pPr>
              <w:rPr>
                <w:rFonts w:ascii="Arial"/>
                <w:sz w:val="21"/>
              </w:rPr>
            </w:pPr>
          </w:p>
        </w:tc>
      </w:tr>
      <w:tr w14:paraId="0C0B1E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20" w:hRule="atLeast"/>
        </w:trPr>
        <w:tc>
          <w:tcPr>
            <w:tcW w:w="2022" w:type="dxa"/>
            <w:vAlign w:val="top"/>
          </w:tcPr>
          <w:p w14:paraId="372BA7CC">
            <w:pPr>
              <w:pStyle w:val="7"/>
              <w:spacing w:before="215" w:line="223" w:lineRule="auto"/>
              <w:ind w:left="567"/>
            </w:pPr>
            <w:r>
              <w:rPr>
                <w:b/>
                <w:bCs/>
                <w:spacing w:val="-9"/>
              </w:rPr>
              <w:t>第六十五条</w:t>
            </w:r>
          </w:p>
        </w:tc>
        <w:tc>
          <w:tcPr>
            <w:tcW w:w="6262" w:type="dxa"/>
            <w:vAlign w:val="top"/>
          </w:tcPr>
          <w:p w14:paraId="407DEB43">
            <w:pPr>
              <w:pStyle w:val="7"/>
              <w:spacing w:before="215" w:line="223" w:lineRule="auto"/>
              <w:ind w:left="80"/>
            </w:pPr>
            <w:r>
              <w:rPr>
                <w:spacing w:val="-2"/>
              </w:rPr>
              <w:t>本章程的解释权属于理事会。</w:t>
            </w:r>
          </w:p>
        </w:tc>
      </w:tr>
      <w:tr w14:paraId="26AEFD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3" w:hRule="atLeast"/>
        </w:trPr>
        <w:tc>
          <w:tcPr>
            <w:tcW w:w="2022" w:type="dxa"/>
            <w:vAlign w:val="top"/>
          </w:tcPr>
          <w:p w14:paraId="0A14A417">
            <w:pPr>
              <w:pStyle w:val="7"/>
              <w:spacing w:before="215" w:line="183" w:lineRule="auto"/>
              <w:ind w:left="567"/>
            </w:pPr>
            <w:r>
              <w:rPr>
                <w:b/>
                <w:bCs/>
                <w:spacing w:val="-9"/>
              </w:rPr>
              <w:t>第六十六条</w:t>
            </w:r>
          </w:p>
        </w:tc>
        <w:tc>
          <w:tcPr>
            <w:tcW w:w="6262" w:type="dxa"/>
            <w:vAlign w:val="top"/>
          </w:tcPr>
          <w:p w14:paraId="1CD24B93">
            <w:pPr>
              <w:pStyle w:val="7"/>
              <w:spacing w:before="215" w:line="183" w:lineRule="auto"/>
              <w:ind w:left="80"/>
            </w:pPr>
            <w:r>
              <w:rPr>
                <w:spacing w:val="-1"/>
              </w:rPr>
              <w:t>本章程自登记管理机关核准之日起生效。</w:t>
            </w:r>
          </w:p>
        </w:tc>
      </w:tr>
    </w:tbl>
    <w:p w14:paraId="48DCCBAE">
      <w:pPr>
        <w:rPr>
          <w:rFonts w:ascii="Arial"/>
          <w:sz w:val="21"/>
        </w:rPr>
      </w:pPr>
    </w:p>
    <w:p w14:paraId="6E4CBAA7">
      <w:pPr>
        <w:rPr>
          <w:rFonts w:ascii="Arial" w:hAnsi="Arial" w:eastAsia="Arial" w:cs="Arial"/>
          <w:sz w:val="21"/>
          <w:szCs w:val="21"/>
        </w:rPr>
        <w:sectPr>
          <w:footerReference r:id="rId20" w:type="default"/>
          <w:pgSz w:w="11906" w:h="16839"/>
          <w:pgMar w:top="400" w:right="1785" w:bottom="1151" w:left="1785" w:header="0" w:footer="989" w:gutter="0"/>
          <w:pgNumType w:fmt="decimal"/>
          <w:cols w:space="720" w:num="1"/>
        </w:sectPr>
      </w:pPr>
    </w:p>
    <w:p w14:paraId="06D48E6C">
      <w:pPr>
        <w:spacing w:line="258" w:lineRule="auto"/>
        <w:rPr>
          <w:rFonts w:ascii="Arial"/>
          <w:sz w:val="21"/>
        </w:rPr>
      </w:pPr>
    </w:p>
    <w:p w14:paraId="294B3A17">
      <w:pPr>
        <w:spacing w:line="259" w:lineRule="auto"/>
        <w:rPr>
          <w:rFonts w:ascii="Arial"/>
          <w:sz w:val="21"/>
        </w:rPr>
      </w:pPr>
    </w:p>
    <w:p w14:paraId="7E4C0468">
      <w:pPr>
        <w:spacing w:line="259" w:lineRule="auto"/>
        <w:rPr>
          <w:rFonts w:ascii="Arial"/>
          <w:sz w:val="21"/>
        </w:rPr>
      </w:pPr>
    </w:p>
    <w:p w14:paraId="0065CCCC">
      <w:pPr>
        <w:spacing w:line="259" w:lineRule="auto"/>
        <w:rPr>
          <w:rFonts w:ascii="Arial"/>
          <w:sz w:val="21"/>
        </w:rPr>
      </w:pPr>
    </w:p>
    <w:p w14:paraId="44A606FE">
      <w:pPr>
        <w:pStyle w:val="2"/>
        <w:spacing w:before="120" w:line="314" w:lineRule="auto"/>
        <w:ind w:left="3282" w:right="1455" w:hanging="1968"/>
        <w:rPr>
          <w:rFonts w:ascii="黑体" w:hAnsi="黑体" w:eastAsia="黑体" w:cs="黑体"/>
        </w:rPr>
      </w:pPr>
      <w:bookmarkStart w:id="16" w:name="bookmark20"/>
      <w:bookmarkEnd w:id="16"/>
      <w:r>
        <w:rPr>
          <w:rFonts w:ascii="方正舒体" w:hAnsi="方正舒体" w:eastAsia="方正舒体" w:cs="方正舒体"/>
          <w:spacing w:val="2"/>
          <w:sz w:val="35"/>
          <w:szCs w:val="35"/>
        </w:rPr>
        <w:t>青海湖生态保护基金会党建 工作制度</w:t>
      </w:r>
      <w:r>
        <w:rPr>
          <w:rFonts w:ascii="方正舒体" w:hAnsi="方正舒体" w:eastAsia="方正舒体" w:cs="方正舒体"/>
          <w:spacing w:val="7"/>
          <w:sz w:val="35"/>
          <w:szCs w:val="35"/>
        </w:rPr>
        <w:t xml:space="preserve"> </w:t>
      </w:r>
      <w:r>
        <w:rPr>
          <w:spacing w:val="-4"/>
        </w:rPr>
        <w:t>第七章</w:t>
      </w:r>
      <w:r>
        <w:rPr>
          <w:spacing w:val="118"/>
        </w:rPr>
        <w:t xml:space="preserve"> </w:t>
      </w:r>
      <w:r>
        <w:rPr>
          <w:rFonts w:ascii="黑体" w:hAnsi="黑体" w:eastAsia="黑体" w:cs="黑体"/>
          <w:b/>
          <w:bCs/>
          <w:spacing w:val="-4"/>
        </w:rPr>
        <w:t>总</w:t>
      </w:r>
      <w:r>
        <w:rPr>
          <w:rFonts w:ascii="黑体" w:hAnsi="黑体" w:eastAsia="黑体" w:cs="黑体"/>
          <w:spacing w:val="-4"/>
        </w:rPr>
        <w:t xml:space="preserve"> </w:t>
      </w:r>
      <w:r>
        <w:rPr>
          <w:rFonts w:ascii="黑体" w:hAnsi="黑体" w:eastAsia="黑体" w:cs="黑体"/>
          <w:b/>
          <w:bCs/>
          <w:spacing w:val="-4"/>
        </w:rPr>
        <w:t>则</w:t>
      </w:r>
    </w:p>
    <w:p w14:paraId="3C42DDE3">
      <w:pPr>
        <w:spacing w:before="103" w:line="363" w:lineRule="auto"/>
        <w:ind w:left="34" w:right="183" w:firstLine="570"/>
        <w:rPr>
          <w:rFonts w:ascii="仿宋" w:hAnsi="仿宋" w:eastAsia="仿宋" w:cs="仿宋"/>
          <w:sz w:val="28"/>
          <w:szCs w:val="28"/>
        </w:rPr>
      </w:pPr>
      <w:r>
        <w:rPr>
          <w:rFonts w:ascii="仿宋" w:hAnsi="仿宋" w:eastAsia="仿宋" w:cs="仿宋"/>
          <w:b/>
          <w:bCs/>
          <w:spacing w:val="-1"/>
          <w:sz w:val="28"/>
          <w:szCs w:val="28"/>
        </w:rPr>
        <w:t>第一条</w:t>
      </w:r>
      <w:r>
        <w:rPr>
          <w:rFonts w:ascii="仿宋" w:hAnsi="仿宋" w:eastAsia="仿宋" w:cs="仿宋"/>
          <w:spacing w:val="-1"/>
          <w:sz w:val="28"/>
          <w:szCs w:val="28"/>
        </w:rPr>
        <w:t xml:space="preserve"> 为推动青海湖生态保护基金会（以下</w:t>
      </w:r>
      <w:r>
        <w:rPr>
          <w:rFonts w:ascii="仿宋" w:hAnsi="仿宋" w:eastAsia="仿宋" w:cs="仿宋"/>
          <w:spacing w:val="-2"/>
          <w:sz w:val="28"/>
          <w:szCs w:val="28"/>
        </w:rPr>
        <w:t>简称“基金会</w:t>
      </w:r>
      <w:r>
        <w:rPr>
          <w:rFonts w:ascii="仿宋" w:hAnsi="仿宋" w:eastAsia="仿宋" w:cs="仿宋"/>
          <w:spacing w:val="-102"/>
          <w:sz w:val="28"/>
          <w:szCs w:val="28"/>
        </w:rPr>
        <w:t xml:space="preserve"> </w:t>
      </w:r>
      <w:r>
        <w:rPr>
          <w:rFonts w:ascii="仿宋" w:hAnsi="仿宋" w:eastAsia="仿宋" w:cs="仿宋"/>
          <w:spacing w:val="-2"/>
          <w:sz w:val="28"/>
          <w:szCs w:val="28"/>
        </w:rPr>
        <w:t>”）</w:t>
      </w:r>
      <w:r>
        <w:rPr>
          <w:rFonts w:ascii="仿宋" w:hAnsi="仿宋" w:eastAsia="仿宋" w:cs="仿宋"/>
          <w:sz w:val="28"/>
          <w:szCs w:val="28"/>
        </w:rPr>
        <w:t xml:space="preserve"> 党建工作科学化、规范 化、标准化、制度化，发挥本基金会党组织</w:t>
      </w:r>
      <w:r>
        <w:rPr>
          <w:rFonts w:ascii="仿宋" w:hAnsi="仿宋" w:eastAsia="仿宋" w:cs="仿宋"/>
          <w:spacing w:val="18"/>
          <w:sz w:val="28"/>
          <w:szCs w:val="28"/>
        </w:rPr>
        <w:t xml:space="preserve"> </w:t>
      </w:r>
      <w:r>
        <w:rPr>
          <w:rFonts w:ascii="仿宋" w:hAnsi="仿宋" w:eastAsia="仿宋" w:cs="仿宋"/>
          <w:spacing w:val="-4"/>
          <w:sz w:val="28"/>
          <w:szCs w:val="28"/>
        </w:rPr>
        <w:t>政治核心作用，根据《中国共产党章程》、《中共中央办公厅印发关</w:t>
      </w:r>
      <w:r>
        <w:rPr>
          <w:rFonts w:ascii="仿宋" w:hAnsi="仿宋" w:eastAsia="仿宋" w:cs="仿宋"/>
          <w:spacing w:val="1"/>
          <w:sz w:val="28"/>
          <w:szCs w:val="28"/>
        </w:rPr>
        <w:t xml:space="preserve"> 于加强社会组织党的建设工作的意见（试行）》</w:t>
      </w:r>
      <w:r>
        <w:rPr>
          <w:rFonts w:ascii="仿宋" w:hAnsi="仿宋" w:eastAsia="仿宋" w:cs="仿宋"/>
          <w:sz w:val="28"/>
          <w:szCs w:val="28"/>
        </w:rPr>
        <w:t xml:space="preserve"> 等规定和本基金会 </w:t>
      </w:r>
      <w:r>
        <w:rPr>
          <w:rFonts w:ascii="仿宋" w:hAnsi="仿宋" w:eastAsia="仿宋" w:cs="仿宋"/>
          <w:spacing w:val="-2"/>
          <w:sz w:val="28"/>
          <w:szCs w:val="28"/>
        </w:rPr>
        <w:t>章程，结合实际，制定本制度。</w:t>
      </w:r>
    </w:p>
    <w:p w14:paraId="5267A4A8">
      <w:pPr>
        <w:spacing w:before="48" w:line="358" w:lineRule="auto"/>
        <w:ind w:left="39" w:right="183" w:firstLine="565"/>
        <w:rPr>
          <w:rFonts w:ascii="仿宋" w:hAnsi="仿宋" w:eastAsia="仿宋" w:cs="仿宋"/>
          <w:sz w:val="28"/>
          <w:szCs w:val="28"/>
        </w:rPr>
      </w:pPr>
      <w:r>
        <w:rPr>
          <w:rFonts w:ascii="仿宋" w:hAnsi="仿宋" w:eastAsia="仿宋" w:cs="仿宋"/>
          <w:b/>
          <w:bCs/>
          <w:spacing w:val="-3"/>
          <w:sz w:val="28"/>
          <w:szCs w:val="28"/>
        </w:rPr>
        <w:t>第二条</w:t>
      </w:r>
      <w:r>
        <w:rPr>
          <w:rFonts w:ascii="仿宋" w:hAnsi="仿宋" w:eastAsia="仿宋" w:cs="仿宋"/>
          <w:spacing w:val="-3"/>
          <w:sz w:val="28"/>
          <w:szCs w:val="28"/>
        </w:rPr>
        <w:t xml:space="preserve"> 基金会党支部按照《中国共产党章程》、</w:t>
      </w:r>
      <w:r>
        <w:rPr>
          <w:rFonts w:ascii="仿宋" w:hAnsi="仿宋" w:eastAsia="仿宋" w:cs="仿宋"/>
          <w:spacing w:val="-52"/>
          <w:sz w:val="28"/>
          <w:szCs w:val="28"/>
        </w:rPr>
        <w:t xml:space="preserve"> </w:t>
      </w:r>
      <w:r>
        <w:rPr>
          <w:rFonts w:ascii="仿宋" w:hAnsi="仿宋" w:eastAsia="仿宋" w:cs="仿宋"/>
          <w:spacing w:val="-3"/>
          <w:sz w:val="28"/>
          <w:szCs w:val="28"/>
        </w:rPr>
        <w:t>《中共中</w:t>
      </w:r>
      <w:r>
        <w:rPr>
          <w:rFonts w:ascii="仿宋" w:hAnsi="仿宋" w:eastAsia="仿宋" w:cs="仿宋"/>
          <w:spacing w:val="-4"/>
          <w:sz w:val="28"/>
          <w:szCs w:val="28"/>
        </w:rPr>
        <w:t>央办</w:t>
      </w:r>
      <w:r>
        <w:rPr>
          <w:rFonts w:ascii="仿宋" w:hAnsi="仿宋" w:eastAsia="仿宋" w:cs="仿宋"/>
          <w:sz w:val="28"/>
          <w:szCs w:val="28"/>
        </w:rPr>
        <w:t xml:space="preserve"> </w:t>
      </w:r>
      <w:r>
        <w:rPr>
          <w:rFonts w:ascii="仿宋" w:hAnsi="仿宋" w:eastAsia="仿宋" w:cs="仿宋"/>
          <w:spacing w:val="-4"/>
          <w:sz w:val="28"/>
          <w:szCs w:val="28"/>
        </w:rPr>
        <w:t>公厅印发关于加强社会组织党的建设工作的意见（试行）》</w:t>
      </w:r>
      <w:r>
        <w:rPr>
          <w:rFonts w:ascii="仿宋" w:hAnsi="仿宋" w:eastAsia="仿宋" w:cs="仿宋"/>
          <w:spacing w:val="-5"/>
          <w:sz w:val="28"/>
          <w:szCs w:val="28"/>
        </w:rPr>
        <w:t>及本基金</w:t>
      </w:r>
      <w:r>
        <w:rPr>
          <w:rFonts w:ascii="仿宋" w:hAnsi="仿宋" w:eastAsia="仿宋" w:cs="仿宋"/>
          <w:sz w:val="28"/>
          <w:szCs w:val="28"/>
        </w:rPr>
        <w:t xml:space="preserve"> </w:t>
      </w:r>
      <w:r>
        <w:rPr>
          <w:rFonts w:ascii="仿宋" w:hAnsi="仿宋" w:eastAsia="仿宋" w:cs="仿宋"/>
          <w:spacing w:val="-2"/>
          <w:sz w:val="28"/>
          <w:szCs w:val="28"/>
        </w:rPr>
        <w:t>会章程有关规定指导党支部开展工作。</w:t>
      </w:r>
    </w:p>
    <w:p w14:paraId="61719CE6">
      <w:pPr>
        <w:spacing w:before="51" w:line="353" w:lineRule="auto"/>
        <w:ind w:left="33" w:right="183" w:firstLine="571"/>
        <w:rPr>
          <w:rFonts w:ascii="仿宋" w:hAnsi="仿宋" w:eastAsia="仿宋" w:cs="仿宋"/>
          <w:sz w:val="28"/>
          <w:szCs w:val="28"/>
        </w:rPr>
      </w:pPr>
      <w:r>
        <w:rPr>
          <w:rFonts w:ascii="仿宋" w:hAnsi="仿宋" w:eastAsia="仿宋" w:cs="仿宋"/>
          <w:b/>
          <w:bCs/>
          <w:sz w:val="28"/>
          <w:szCs w:val="28"/>
        </w:rPr>
        <w:t>第三条</w:t>
      </w:r>
      <w:r>
        <w:rPr>
          <w:rFonts w:ascii="仿宋" w:hAnsi="仿宋" w:eastAsia="仿宋" w:cs="仿宋"/>
          <w:sz w:val="28"/>
          <w:szCs w:val="28"/>
        </w:rPr>
        <w:t xml:space="preserve"> 制度所指党建工作包括党组织领导班子建设、党员队伍</w:t>
      </w:r>
      <w:r>
        <w:rPr>
          <w:rFonts w:ascii="仿宋" w:hAnsi="仿宋" w:eastAsia="仿宋" w:cs="仿宋"/>
          <w:spacing w:val="2"/>
          <w:sz w:val="28"/>
          <w:szCs w:val="28"/>
        </w:rPr>
        <w:t xml:space="preserve"> </w:t>
      </w:r>
      <w:r>
        <w:rPr>
          <w:rFonts w:ascii="仿宋" w:hAnsi="仿宋" w:eastAsia="仿宋" w:cs="仿宋"/>
          <w:spacing w:val="-1"/>
          <w:sz w:val="28"/>
          <w:szCs w:val="28"/>
        </w:rPr>
        <w:t>建设、党组织制度建设、党组织阵地建设、党组织活动等五部分。</w:t>
      </w:r>
    </w:p>
    <w:p w14:paraId="0266C6D4">
      <w:pPr>
        <w:spacing w:before="47" w:line="353" w:lineRule="auto"/>
        <w:ind w:left="34" w:right="183" w:firstLine="570"/>
        <w:rPr>
          <w:rFonts w:ascii="仿宋" w:hAnsi="仿宋" w:eastAsia="仿宋" w:cs="仿宋"/>
          <w:sz w:val="28"/>
          <w:szCs w:val="28"/>
        </w:rPr>
      </w:pPr>
      <w:r>
        <w:rPr>
          <w:rFonts w:ascii="仿宋" w:hAnsi="仿宋" w:eastAsia="仿宋" w:cs="仿宋"/>
          <w:b/>
          <w:bCs/>
          <w:sz w:val="28"/>
          <w:szCs w:val="28"/>
        </w:rPr>
        <w:t>第四条</w:t>
      </w:r>
      <w:r>
        <w:rPr>
          <w:rFonts w:ascii="仿宋" w:hAnsi="仿宋" w:eastAsia="仿宋" w:cs="仿宋"/>
          <w:sz w:val="28"/>
          <w:szCs w:val="28"/>
        </w:rPr>
        <w:t xml:space="preserve"> 基金会党支部按照《中国共产党章程》及有关规定开展</w:t>
      </w:r>
      <w:r>
        <w:rPr>
          <w:rFonts w:ascii="仿宋" w:hAnsi="仿宋" w:eastAsia="仿宋" w:cs="仿宋"/>
          <w:spacing w:val="2"/>
          <w:sz w:val="28"/>
          <w:szCs w:val="28"/>
        </w:rPr>
        <w:t xml:space="preserve"> </w:t>
      </w:r>
      <w:r>
        <w:rPr>
          <w:rFonts w:ascii="仿宋" w:hAnsi="仿宋" w:eastAsia="仿宋" w:cs="仿宋"/>
          <w:spacing w:val="-2"/>
          <w:sz w:val="28"/>
          <w:szCs w:val="28"/>
        </w:rPr>
        <w:t>组织活动，并按期进行换届选举。</w:t>
      </w:r>
    </w:p>
    <w:p w14:paraId="7A0815AC">
      <w:pPr>
        <w:spacing w:before="52" w:line="361" w:lineRule="auto"/>
        <w:ind w:left="33" w:right="143" w:firstLine="571"/>
        <w:jc w:val="both"/>
        <w:rPr>
          <w:rFonts w:ascii="仿宋" w:hAnsi="仿宋" w:eastAsia="仿宋" w:cs="仿宋"/>
          <w:sz w:val="28"/>
          <w:szCs w:val="28"/>
        </w:rPr>
      </w:pPr>
      <w:r>
        <w:rPr>
          <w:rFonts w:ascii="仿宋" w:hAnsi="仿宋" w:eastAsia="仿宋" w:cs="仿宋"/>
          <w:b/>
          <w:bCs/>
          <w:sz w:val="28"/>
          <w:szCs w:val="28"/>
        </w:rPr>
        <w:t>第五条</w:t>
      </w:r>
      <w:r>
        <w:rPr>
          <w:rFonts w:ascii="仿宋" w:hAnsi="仿宋" w:eastAsia="仿宋" w:cs="仿宋"/>
          <w:sz w:val="28"/>
          <w:szCs w:val="28"/>
        </w:rPr>
        <w:t xml:space="preserve"> 基金会党支部全面加强党的思想、组织、作风、反腐倡</w:t>
      </w:r>
      <w:r>
        <w:rPr>
          <w:rFonts w:ascii="仿宋" w:hAnsi="仿宋" w:eastAsia="仿宋" w:cs="仿宋"/>
          <w:spacing w:val="2"/>
          <w:sz w:val="28"/>
          <w:szCs w:val="28"/>
        </w:rPr>
        <w:t xml:space="preserve"> </w:t>
      </w:r>
      <w:r>
        <w:rPr>
          <w:rFonts w:ascii="仿宋" w:hAnsi="仿宋" w:eastAsia="仿宋" w:cs="仿宋"/>
          <w:spacing w:val="-3"/>
          <w:sz w:val="28"/>
          <w:szCs w:val="28"/>
        </w:rPr>
        <w:t>廉和制度建设，充分发挥党组织政治核心作用和党员先锋模范作用，</w:t>
      </w:r>
      <w:r>
        <w:rPr>
          <w:rFonts w:ascii="仿宋" w:hAnsi="仿宋" w:eastAsia="仿宋" w:cs="仿宋"/>
          <w:spacing w:val="11"/>
          <w:sz w:val="28"/>
          <w:szCs w:val="28"/>
        </w:rPr>
        <w:t xml:space="preserve"> </w:t>
      </w:r>
      <w:r>
        <w:rPr>
          <w:rFonts w:ascii="仿宋" w:hAnsi="仿宋" w:eastAsia="仿宋" w:cs="仿宋"/>
          <w:spacing w:val="-4"/>
          <w:sz w:val="28"/>
          <w:szCs w:val="28"/>
        </w:rPr>
        <w:t>认真履行引领方向、激发活力、团结凝聚、监督管理、规范行为以及</w:t>
      </w:r>
      <w:r>
        <w:rPr>
          <w:rFonts w:ascii="仿宋" w:hAnsi="仿宋" w:eastAsia="仿宋" w:cs="仿宋"/>
          <w:sz w:val="28"/>
          <w:szCs w:val="28"/>
        </w:rPr>
        <w:t xml:space="preserve"> </w:t>
      </w:r>
      <w:r>
        <w:rPr>
          <w:rFonts w:ascii="仿宋" w:hAnsi="仿宋" w:eastAsia="仿宋" w:cs="仿宋"/>
          <w:spacing w:val="-1"/>
          <w:sz w:val="28"/>
          <w:szCs w:val="28"/>
        </w:rPr>
        <w:t>推动事业发展、建设先进文化、服务人才培养的基本职责。</w:t>
      </w:r>
    </w:p>
    <w:p w14:paraId="6788BCD6">
      <w:pPr>
        <w:spacing w:before="48" w:line="358" w:lineRule="auto"/>
        <w:ind w:left="33" w:firstLine="571"/>
        <w:jc w:val="both"/>
        <w:rPr>
          <w:rFonts w:ascii="仿宋" w:hAnsi="仿宋" w:eastAsia="仿宋" w:cs="仿宋"/>
          <w:sz w:val="28"/>
          <w:szCs w:val="28"/>
        </w:rPr>
      </w:pPr>
      <w:r>
        <w:rPr>
          <w:rFonts w:ascii="仿宋" w:hAnsi="仿宋" w:eastAsia="仿宋" w:cs="仿宋"/>
          <w:b/>
          <w:bCs/>
          <w:spacing w:val="-3"/>
          <w:sz w:val="28"/>
          <w:szCs w:val="28"/>
        </w:rPr>
        <w:t>第六条</w:t>
      </w:r>
      <w:r>
        <w:rPr>
          <w:rFonts w:ascii="仿宋" w:hAnsi="仿宋" w:eastAsia="仿宋" w:cs="仿宋"/>
          <w:spacing w:val="-3"/>
          <w:sz w:val="28"/>
          <w:szCs w:val="28"/>
        </w:rPr>
        <w:t xml:space="preserve"> 基金会党支部坚持党的领导与社会组织</w:t>
      </w:r>
      <w:r>
        <w:rPr>
          <w:rFonts w:ascii="仿宋" w:hAnsi="仿宋" w:eastAsia="仿宋" w:cs="仿宋"/>
          <w:spacing w:val="-4"/>
          <w:sz w:val="28"/>
          <w:szCs w:val="28"/>
        </w:rPr>
        <w:t>依法自治相统一，</w:t>
      </w:r>
      <w:r>
        <w:rPr>
          <w:rFonts w:ascii="仿宋" w:hAnsi="仿宋" w:eastAsia="仿宋" w:cs="仿宋"/>
          <w:sz w:val="28"/>
          <w:szCs w:val="28"/>
        </w:rPr>
        <w:t xml:space="preserve"> </w:t>
      </w:r>
      <w:r>
        <w:rPr>
          <w:rFonts w:ascii="仿宋" w:hAnsi="仿宋" w:eastAsia="仿宋" w:cs="仿宋"/>
          <w:spacing w:val="-4"/>
          <w:sz w:val="28"/>
          <w:szCs w:val="28"/>
        </w:rPr>
        <w:t>把党的工作融入基金会运行和发展过程，更好地组织、引导、团结基</w:t>
      </w:r>
      <w:r>
        <w:rPr>
          <w:rFonts w:ascii="仿宋" w:hAnsi="仿宋" w:eastAsia="仿宋" w:cs="仿宋"/>
          <w:sz w:val="28"/>
          <w:szCs w:val="28"/>
        </w:rPr>
        <w:t xml:space="preserve">  </w:t>
      </w:r>
      <w:r>
        <w:rPr>
          <w:rFonts w:ascii="仿宋" w:hAnsi="仿宋" w:eastAsia="仿宋" w:cs="仿宋"/>
          <w:spacing w:val="-1"/>
          <w:sz w:val="28"/>
          <w:szCs w:val="28"/>
        </w:rPr>
        <w:t>金会全体人员，推动基金会各项工作的开展。</w:t>
      </w:r>
    </w:p>
    <w:p w14:paraId="1F8470CF">
      <w:pPr>
        <w:spacing w:before="49" w:line="353" w:lineRule="auto"/>
        <w:ind w:left="34" w:right="229" w:firstLine="570"/>
        <w:rPr>
          <w:rFonts w:ascii="仿宋" w:hAnsi="仿宋" w:eastAsia="仿宋" w:cs="仿宋"/>
          <w:sz w:val="28"/>
          <w:szCs w:val="28"/>
        </w:rPr>
      </w:pPr>
      <w:r>
        <w:rPr>
          <w:rFonts w:ascii="仿宋" w:hAnsi="仿宋" w:eastAsia="仿宋" w:cs="仿宋"/>
          <w:b/>
          <w:bCs/>
          <w:spacing w:val="-2"/>
          <w:sz w:val="28"/>
          <w:szCs w:val="28"/>
        </w:rPr>
        <w:t>第七条</w:t>
      </w:r>
      <w:r>
        <w:rPr>
          <w:rFonts w:ascii="仿宋" w:hAnsi="仿宋" w:eastAsia="仿宋" w:cs="仿宋"/>
          <w:spacing w:val="-2"/>
          <w:sz w:val="28"/>
          <w:szCs w:val="28"/>
        </w:rPr>
        <w:t xml:space="preserve"> 基金会党支部全体党员严肃组织生活，严明政治纪律、</w:t>
      </w:r>
      <w:r>
        <w:rPr>
          <w:rFonts w:ascii="仿宋" w:hAnsi="仿宋" w:eastAsia="仿宋" w:cs="仿宋"/>
          <w:spacing w:val="12"/>
          <w:sz w:val="28"/>
          <w:szCs w:val="28"/>
        </w:rPr>
        <w:t xml:space="preserve"> </w:t>
      </w:r>
      <w:r>
        <w:rPr>
          <w:rFonts w:ascii="仿宋" w:hAnsi="仿宋" w:eastAsia="仿宋" w:cs="仿宋"/>
          <w:spacing w:val="-4"/>
          <w:sz w:val="28"/>
          <w:szCs w:val="28"/>
        </w:rPr>
        <w:t>政治规矩和组织纪律，</w:t>
      </w:r>
      <w:r>
        <w:rPr>
          <w:rFonts w:ascii="仿宋" w:hAnsi="仿宋" w:eastAsia="仿宋" w:cs="仿宋"/>
          <w:spacing w:val="-56"/>
          <w:sz w:val="28"/>
          <w:szCs w:val="28"/>
        </w:rPr>
        <w:t xml:space="preserve"> </w:t>
      </w:r>
      <w:r>
        <w:rPr>
          <w:rFonts w:ascii="仿宋" w:hAnsi="仿宋" w:eastAsia="仿宋" w:cs="仿宋"/>
          <w:spacing w:val="-4"/>
          <w:sz w:val="28"/>
          <w:szCs w:val="28"/>
        </w:rPr>
        <w:t>自觉接受党的纪律约束和组织考评。</w:t>
      </w:r>
    </w:p>
    <w:p w14:paraId="1945A639">
      <w:pPr>
        <w:spacing w:before="51" w:line="222" w:lineRule="auto"/>
        <w:ind w:left="2301"/>
        <w:rPr>
          <w:rFonts w:ascii="黑体" w:hAnsi="黑体" w:eastAsia="黑体" w:cs="黑体"/>
          <w:sz w:val="28"/>
          <w:szCs w:val="28"/>
        </w:rPr>
      </w:pPr>
      <w:r>
        <w:rPr>
          <w:rFonts w:ascii="黑体" w:hAnsi="黑体" w:eastAsia="黑体" w:cs="黑体"/>
          <w:b/>
          <w:bCs/>
          <w:spacing w:val="-5"/>
          <w:sz w:val="28"/>
          <w:szCs w:val="28"/>
        </w:rPr>
        <w:t>第八章</w:t>
      </w:r>
      <w:r>
        <w:rPr>
          <w:rFonts w:ascii="黑体" w:hAnsi="黑体" w:eastAsia="黑体" w:cs="黑体"/>
          <w:spacing w:val="60"/>
          <w:sz w:val="28"/>
          <w:szCs w:val="28"/>
        </w:rPr>
        <w:t xml:space="preserve">  </w:t>
      </w:r>
      <w:r>
        <w:rPr>
          <w:rFonts w:ascii="黑体" w:hAnsi="黑体" w:eastAsia="黑体" w:cs="黑体"/>
          <w:b/>
          <w:bCs/>
          <w:spacing w:val="-5"/>
          <w:sz w:val="28"/>
          <w:szCs w:val="28"/>
        </w:rPr>
        <w:t>党支部领导班子建设</w:t>
      </w:r>
    </w:p>
    <w:p w14:paraId="5AC74F2B">
      <w:pPr>
        <w:spacing w:line="222" w:lineRule="auto"/>
        <w:rPr>
          <w:rFonts w:ascii="黑体" w:hAnsi="黑体" w:eastAsia="黑体" w:cs="黑体"/>
          <w:sz w:val="28"/>
          <w:szCs w:val="28"/>
        </w:rPr>
        <w:sectPr>
          <w:pgSz w:w="11900" w:h="16841"/>
          <w:pgMar w:top="400" w:right="1614" w:bottom="913" w:left="1785" w:header="0" w:footer="680" w:gutter="0"/>
          <w:pgNumType w:fmt="decimal"/>
          <w:cols w:space="720" w:num="1"/>
        </w:sectPr>
      </w:pPr>
    </w:p>
    <w:p w14:paraId="19374E3C">
      <w:pPr>
        <w:spacing w:line="286" w:lineRule="auto"/>
        <w:rPr>
          <w:rFonts w:ascii="Arial"/>
          <w:sz w:val="21"/>
        </w:rPr>
      </w:pPr>
    </w:p>
    <w:p w14:paraId="4617B6E6">
      <w:pPr>
        <w:spacing w:line="286" w:lineRule="auto"/>
        <w:rPr>
          <w:rFonts w:ascii="Arial"/>
          <w:sz w:val="21"/>
        </w:rPr>
      </w:pPr>
    </w:p>
    <w:p w14:paraId="27D0DAB3">
      <w:pPr>
        <w:spacing w:line="286" w:lineRule="auto"/>
        <w:rPr>
          <w:rFonts w:ascii="Arial"/>
          <w:sz w:val="21"/>
        </w:rPr>
      </w:pPr>
    </w:p>
    <w:p w14:paraId="452F9926">
      <w:pPr>
        <w:spacing w:line="287" w:lineRule="auto"/>
        <w:rPr>
          <w:rFonts w:ascii="Arial"/>
          <w:sz w:val="21"/>
        </w:rPr>
      </w:pPr>
    </w:p>
    <w:p w14:paraId="5CD2050B">
      <w:pPr>
        <w:spacing w:before="91" w:line="362" w:lineRule="auto"/>
        <w:ind w:left="33" w:right="13" w:firstLine="571"/>
        <w:jc w:val="both"/>
        <w:rPr>
          <w:rFonts w:ascii="仿宋" w:hAnsi="仿宋" w:eastAsia="仿宋" w:cs="仿宋"/>
          <w:sz w:val="28"/>
          <w:szCs w:val="28"/>
        </w:rPr>
      </w:pPr>
      <w:r>
        <w:rPr>
          <w:rFonts w:ascii="仿宋" w:hAnsi="仿宋" w:eastAsia="仿宋" w:cs="仿宋"/>
          <w:b/>
          <w:bCs/>
          <w:sz w:val="28"/>
          <w:szCs w:val="28"/>
        </w:rPr>
        <w:t>第八条</w:t>
      </w:r>
      <w:r>
        <w:rPr>
          <w:rFonts w:ascii="仿宋" w:hAnsi="仿宋" w:eastAsia="仿宋" w:cs="仿宋"/>
          <w:sz w:val="28"/>
          <w:szCs w:val="28"/>
        </w:rPr>
        <w:t xml:space="preserve"> 按照守信念、讲奉献、有本领、重品行的要求，选优配</w:t>
      </w:r>
      <w:r>
        <w:rPr>
          <w:rFonts w:ascii="仿宋" w:hAnsi="仿宋" w:eastAsia="仿宋" w:cs="仿宋"/>
          <w:spacing w:val="2"/>
          <w:sz w:val="28"/>
          <w:szCs w:val="28"/>
        </w:rPr>
        <w:t xml:space="preserve"> </w:t>
      </w:r>
      <w:r>
        <w:rPr>
          <w:rFonts w:ascii="仿宋" w:hAnsi="仿宋" w:eastAsia="仿宋" w:cs="仿宋"/>
          <w:spacing w:val="-4"/>
          <w:sz w:val="28"/>
          <w:szCs w:val="28"/>
        </w:rPr>
        <w:t>强基金会党支部书记。党支部书记一般从基金会内部产生，提倡党员</w:t>
      </w:r>
      <w:r>
        <w:rPr>
          <w:rFonts w:ascii="仿宋" w:hAnsi="仿宋" w:eastAsia="仿宋" w:cs="仿宋"/>
          <w:spacing w:val="2"/>
          <w:sz w:val="28"/>
          <w:szCs w:val="28"/>
        </w:rPr>
        <w:t xml:space="preserve"> </w:t>
      </w:r>
      <w:r>
        <w:rPr>
          <w:rFonts w:ascii="仿宋" w:hAnsi="仿宋" w:eastAsia="仿宋" w:cs="仿宋"/>
          <w:spacing w:val="-4"/>
          <w:sz w:val="28"/>
          <w:szCs w:val="28"/>
        </w:rPr>
        <w:t>基金会负责人担任党支部书记，基金会负责人不是党员的，可从管理</w:t>
      </w:r>
      <w:r>
        <w:rPr>
          <w:rFonts w:ascii="仿宋" w:hAnsi="仿宋" w:eastAsia="仿宋" w:cs="仿宋"/>
          <w:spacing w:val="2"/>
          <w:sz w:val="28"/>
          <w:szCs w:val="28"/>
        </w:rPr>
        <w:t xml:space="preserve"> </w:t>
      </w:r>
      <w:r>
        <w:rPr>
          <w:rFonts w:ascii="仿宋" w:hAnsi="仿宋" w:eastAsia="仿宋" w:cs="仿宋"/>
          <w:spacing w:val="-2"/>
          <w:sz w:val="28"/>
          <w:szCs w:val="28"/>
        </w:rPr>
        <w:t>层中选拔党支部书记。</w:t>
      </w:r>
    </w:p>
    <w:p w14:paraId="61C0C34C">
      <w:pPr>
        <w:spacing w:before="47" w:line="353" w:lineRule="auto"/>
        <w:ind w:left="33" w:right="13" w:firstLine="571"/>
        <w:rPr>
          <w:rFonts w:ascii="仿宋" w:hAnsi="仿宋" w:eastAsia="仿宋" w:cs="仿宋"/>
          <w:sz w:val="28"/>
          <w:szCs w:val="28"/>
        </w:rPr>
      </w:pPr>
      <w:r>
        <w:rPr>
          <w:rFonts w:ascii="仿宋" w:hAnsi="仿宋" w:eastAsia="仿宋" w:cs="仿宋"/>
          <w:b/>
          <w:bCs/>
          <w:spacing w:val="-2"/>
          <w:sz w:val="28"/>
          <w:szCs w:val="28"/>
        </w:rPr>
        <w:t>第九条</w:t>
      </w:r>
      <w:r>
        <w:rPr>
          <w:rFonts w:ascii="仿宋" w:hAnsi="仿宋" w:eastAsia="仿宋" w:cs="仿宋"/>
          <w:spacing w:val="-2"/>
          <w:sz w:val="28"/>
          <w:szCs w:val="28"/>
        </w:rPr>
        <w:t xml:space="preserve"> 党支部书记要带头执行上级党组织各项决策部</w:t>
      </w:r>
      <w:r>
        <w:rPr>
          <w:rFonts w:ascii="仿宋" w:hAnsi="仿宋" w:eastAsia="仿宋" w:cs="仿宋"/>
          <w:spacing w:val="-3"/>
          <w:sz w:val="28"/>
          <w:szCs w:val="28"/>
        </w:rPr>
        <w:t>署，</w:t>
      </w:r>
      <w:r>
        <w:rPr>
          <w:rFonts w:ascii="仿宋" w:hAnsi="仿宋" w:eastAsia="仿宋" w:cs="仿宋"/>
          <w:spacing w:val="-78"/>
          <w:sz w:val="28"/>
          <w:szCs w:val="28"/>
        </w:rPr>
        <w:t xml:space="preserve"> </w:t>
      </w:r>
      <w:r>
        <w:rPr>
          <w:rFonts w:ascii="仿宋" w:hAnsi="仿宋" w:eastAsia="仿宋" w:cs="仿宋"/>
          <w:spacing w:val="-3"/>
          <w:sz w:val="28"/>
          <w:szCs w:val="28"/>
        </w:rPr>
        <w:t>善于</w:t>
      </w:r>
      <w:r>
        <w:rPr>
          <w:rFonts w:ascii="仿宋" w:hAnsi="仿宋" w:eastAsia="仿宋" w:cs="仿宋"/>
          <w:sz w:val="28"/>
          <w:szCs w:val="28"/>
        </w:rPr>
        <w:t xml:space="preserve"> </w:t>
      </w:r>
      <w:r>
        <w:rPr>
          <w:rFonts w:ascii="仿宋" w:hAnsi="仿宋" w:eastAsia="仿宋" w:cs="仿宋"/>
          <w:spacing w:val="-1"/>
          <w:sz w:val="28"/>
          <w:szCs w:val="28"/>
        </w:rPr>
        <w:t>做思想政治工作，妥善处理好党组织和基金会理事会的关系。</w:t>
      </w:r>
    </w:p>
    <w:p w14:paraId="3D526FD8">
      <w:pPr>
        <w:spacing w:before="49" w:line="222" w:lineRule="auto"/>
        <w:ind w:right="50"/>
        <w:jc w:val="right"/>
        <w:rPr>
          <w:rFonts w:ascii="仿宋" w:hAnsi="仿宋" w:eastAsia="仿宋" w:cs="仿宋"/>
          <w:sz w:val="28"/>
          <w:szCs w:val="28"/>
        </w:rPr>
      </w:pPr>
      <w:r>
        <w:rPr>
          <w:rFonts w:ascii="仿宋" w:hAnsi="仿宋" w:eastAsia="仿宋" w:cs="仿宋"/>
          <w:b/>
          <w:bCs/>
          <w:spacing w:val="-1"/>
          <w:sz w:val="28"/>
          <w:szCs w:val="28"/>
        </w:rPr>
        <w:t>第十条</w:t>
      </w:r>
      <w:r>
        <w:rPr>
          <w:rFonts w:ascii="仿宋" w:hAnsi="仿宋" w:eastAsia="仿宋" w:cs="仿宋"/>
          <w:spacing w:val="-1"/>
          <w:sz w:val="28"/>
          <w:szCs w:val="28"/>
        </w:rPr>
        <w:t xml:space="preserve"> 领导班子要团结共事、密切协调，充分</w:t>
      </w:r>
      <w:r>
        <w:rPr>
          <w:rFonts w:ascii="仿宋" w:hAnsi="仿宋" w:eastAsia="仿宋" w:cs="仿宋"/>
          <w:spacing w:val="-2"/>
          <w:sz w:val="28"/>
          <w:szCs w:val="28"/>
        </w:rPr>
        <w:t>发挥带头作用。</w:t>
      </w:r>
    </w:p>
    <w:p w14:paraId="08F70518">
      <w:pPr>
        <w:spacing w:before="225" w:line="353" w:lineRule="auto"/>
        <w:ind w:left="33" w:right="13" w:firstLine="571"/>
        <w:rPr>
          <w:rFonts w:ascii="仿宋" w:hAnsi="仿宋" w:eastAsia="仿宋" w:cs="仿宋"/>
          <w:sz w:val="28"/>
          <w:szCs w:val="28"/>
        </w:rPr>
      </w:pPr>
      <w:r>
        <w:rPr>
          <w:rFonts w:ascii="仿宋" w:hAnsi="仿宋" w:eastAsia="仿宋" w:cs="仿宋"/>
          <w:b/>
          <w:bCs/>
          <w:sz w:val="28"/>
          <w:szCs w:val="28"/>
        </w:rPr>
        <w:t>第十一条</w:t>
      </w:r>
      <w:r>
        <w:rPr>
          <w:rFonts w:ascii="仿宋" w:hAnsi="仿宋" w:eastAsia="仿宋" w:cs="仿宋"/>
          <w:sz w:val="28"/>
          <w:szCs w:val="28"/>
        </w:rPr>
        <w:t xml:space="preserve"> 领导班子坚持民主集中制，实行集体领导，坚持重大 </w:t>
      </w:r>
      <w:r>
        <w:rPr>
          <w:rFonts w:ascii="仿宋" w:hAnsi="仿宋" w:eastAsia="仿宋" w:cs="仿宋"/>
          <w:spacing w:val="-2"/>
          <w:sz w:val="28"/>
          <w:szCs w:val="28"/>
        </w:rPr>
        <w:t>事项集体决策和通报制度。</w:t>
      </w:r>
    </w:p>
    <w:p w14:paraId="58B20140">
      <w:pPr>
        <w:spacing w:before="47" w:line="354" w:lineRule="auto"/>
        <w:ind w:left="36" w:right="13" w:firstLine="567"/>
        <w:rPr>
          <w:rFonts w:ascii="仿宋" w:hAnsi="仿宋" w:eastAsia="仿宋" w:cs="仿宋"/>
          <w:sz w:val="28"/>
          <w:szCs w:val="28"/>
        </w:rPr>
      </w:pPr>
      <w:r>
        <w:rPr>
          <w:rFonts w:ascii="仿宋" w:hAnsi="仿宋" w:eastAsia="仿宋" w:cs="仿宋"/>
          <w:b/>
          <w:bCs/>
          <w:spacing w:val="-3"/>
          <w:sz w:val="28"/>
          <w:szCs w:val="28"/>
        </w:rPr>
        <w:t>第十二条</w:t>
      </w:r>
      <w:r>
        <w:rPr>
          <w:rFonts w:ascii="仿宋" w:hAnsi="仿宋" w:eastAsia="仿宋" w:cs="仿宋"/>
          <w:spacing w:val="-3"/>
          <w:sz w:val="28"/>
          <w:szCs w:val="28"/>
        </w:rPr>
        <w:t xml:space="preserve"> 领导班子遵纪守法，廉洁自律，</w:t>
      </w:r>
      <w:r>
        <w:rPr>
          <w:rFonts w:ascii="仿宋" w:hAnsi="仿宋" w:eastAsia="仿宋" w:cs="仿宋"/>
          <w:spacing w:val="-57"/>
          <w:sz w:val="28"/>
          <w:szCs w:val="28"/>
        </w:rPr>
        <w:t xml:space="preserve"> </w:t>
      </w:r>
      <w:r>
        <w:rPr>
          <w:rFonts w:ascii="仿宋" w:hAnsi="仿宋" w:eastAsia="仿宋" w:cs="仿宋"/>
          <w:spacing w:val="-3"/>
          <w:sz w:val="28"/>
          <w:szCs w:val="28"/>
        </w:rPr>
        <w:t>自觉接受党组织和群</w:t>
      </w:r>
      <w:r>
        <w:rPr>
          <w:rFonts w:ascii="仿宋" w:hAnsi="仿宋" w:eastAsia="仿宋" w:cs="仿宋"/>
          <w:sz w:val="28"/>
          <w:szCs w:val="28"/>
        </w:rPr>
        <w:t xml:space="preserve"> </w:t>
      </w:r>
      <w:r>
        <w:rPr>
          <w:rFonts w:ascii="仿宋" w:hAnsi="仿宋" w:eastAsia="仿宋" w:cs="仿宋"/>
          <w:spacing w:val="-5"/>
          <w:sz w:val="28"/>
          <w:szCs w:val="28"/>
        </w:rPr>
        <w:t>众的监督。</w:t>
      </w:r>
    </w:p>
    <w:p w14:paraId="66F098F1">
      <w:pPr>
        <w:spacing w:before="45" w:line="222" w:lineRule="auto"/>
        <w:ind w:left="2790"/>
        <w:rPr>
          <w:rFonts w:ascii="黑体" w:hAnsi="黑体" w:eastAsia="黑体" w:cs="黑体"/>
          <w:sz w:val="28"/>
          <w:szCs w:val="28"/>
        </w:rPr>
      </w:pPr>
      <w:r>
        <w:rPr>
          <w:rFonts w:ascii="黑体" w:hAnsi="黑体" w:eastAsia="黑体" w:cs="黑体"/>
          <w:b/>
          <w:bCs/>
          <w:spacing w:val="-6"/>
          <w:sz w:val="28"/>
          <w:szCs w:val="28"/>
        </w:rPr>
        <w:t>第九章</w:t>
      </w:r>
      <w:r>
        <w:rPr>
          <w:rFonts w:ascii="黑体" w:hAnsi="黑体" w:eastAsia="黑体" w:cs="黑体"/>
          <w:spacing w:val="122"/>
          <w:sz w:val="28"/>
          <w:szCs w:val="28"/>
        </w:rPr>
        <w:t xml:space="preserve"> </w:t>
      </w:r>
      <w:r>
        <w:rPr>
          <w:rFonts w:ascii="黑体" w:hAnsi="黑体" w:eastAsia="黑体" w:cs="黑体"/>
          <w:b/>
          <w:bCs/>
          <w:spacing w:val="-6"/>
          <w:sz w:val="28"/>
          <w:szCs w:val="28"/>
        </w:rPr>
        <w:t>党员队伍建设</w:t>
      </w:r>
    </w:p>
    <w:p w14:paraId="72971472">
      <w:pPr>
        <w:spacing w:before="223" w:line="223" w:lineRule="auto"/>
        <w:ind w:right="50"/>
        <w:jc w:val="right"/>
        <w:rPr>
          <w:rFonts w:ascii="仿宋" w:hAnsi="仿宋" w:eastAsia="仿宋" w:cs="仿宋"/>
          <w:sz w:val="28"/>
          <w:szCs w:val="28"/>
        </w:rPr>
      </w:pPr>
      <w:r>
        <w:rPr>
          <w:rFonts w:ascii="仿宋" w:hAnsi="仿宋" w:eastAsia="仿宋" w:cs="仿宋"/>
          <w:b/>
          <w:bCs/>
          <w:spacing w:val="-4"/>
          <w:sz w:val="28"/>
          <w:szCs w:val="28"/>
        </w:rPr>
        <w:t>第十三条</w:t>
      </w:r>
      <w:r>
        <w:rPr>
          <w:rFonts w:ascii="仿宋" w:hAnsi="仿宋" w:eastAsia="仿宋" w:cs="仿宋"/>
          <w:spacing w:val="-4"/>
          <w:sz w:val="28"/>
          <w:szCs w:val="28"/>
        </w:rPr>
        <w:t xml:space="preserve"> 党员应坚持党的群众路线，</w:t>
      </w:r>
      <w:r>
        <w:rPr>
          <w:rFonts w:ascii="仿宋" w:hAnsi="仿宋" w:eastAsia="仿宋" w:cs="仿宋"/>
          <w:spacing w:val="-66"/>
          <w:sz w:val="28"/>
          <w:szCs w:val="28"/>
        </w:rPr>
        <w:t xml:space="preserve"> </w:t>
      </w:r>
      <w:r>
        <w:rPr>
          <w:rFonts w:ascii="仿宋" w:hAnsi="仿宋" w:eastAsia="仿宋" w:cs="仿宋"/>
          <w:spacing w:val="-4"/>
          <w:sz w:val="28"/>
          <w:szCs w:val="28"/>
        </w:rPr>
        <w:t>自觉与党中央保持一致。</w:t>
      </w:r>
    </w:p>
    <w:p w14:paraId="5E00AC6C">
      <w:pPr>
        <w:spacing w:before="224" w:line="352" w:lineRule="auto"/>
        <w:ind w:left="33" w:right="13" w:firstLine="571"/>
        <w:rPr>
          <w:rFonts w:ascii="仿宋" w:hAnsi="仿宋" w:eastAsia="仿宋" w:cs="仿宋"/>
          <w:sz w:val="28"/>
          <w:szCs w:val="28"/>
        </w:rPr>
      </w:pPr>
      <w:r>
        <w:rPr>
          <w:rFonts w:ascii="仿宋" w:hAnsi="仿宋" w:eastAsia="仿宋" w:cs="仿宋"/>
          <w:b/>
          <w:bCs/>
          <w:sz w:val="28"/>
          <w:szCs w:val="28"/>
        </w:rPr>
        <w:t>第十四条</w:t>
      </w:r>
      <w:r>
        <w:rPr>
          <w:rFonts w:ascii="仿宋" w:hAnsi="仿宋" w:eastAsia="仿宋" w:cs="仿宋"/>
          <w:sz w:val="28"/>
          <w:szCs w:val="28"/>
        </w:rPr>
        <w:t xml:space="preserve"> 党员应自觉参加各种党的活动，党员意识强，党性修 </w:t>
      </w:r>
      <w:r>
        <w:rPr>
          <w:rFonts w:ascii="仿宋" w:hAnsi="仿宋" w:eastAsia="仿宋" w:cs="仿宋"/>
          <w:spacing w:val="-5"/>
          <w:sz w:val="28"/>
          <w:szCs w:val="28"/>
        </w:rPr>
        <w:t>养好，</w:t>
      </w:r>
      <w:r>
        <w:rPr>
          <w:rFonts w:ascii="仿宋" w:hAnsi="仿宋" w:eastAsia="仿宋" w:cs="仿宋"/>
          <w:spacing w:val="-59"/>
          <w:sz w:val="28"/>
          <w:szCs w:val="28"/>
        </w:rPr>
        <w:t xml:space="preserve"> </w:t>
      </w:r>
      <w:r>
        <w:rPr>
          <w:rFonts w:ascii="仿宋" w:hAnsi="仿宋" w:eastAsia="仿宋" w:cs="仿宋"/>
          <w:spacing w:val="-5"/>
          <w:sz w:val="28"/>
          <w:szCs w:val="28"/>
        </w:rPr>
        <w:t>自觉在本职岗位上发挥先锋模范作用。</w:t>
      </w:r>
    </w:p>
    <w:p w14:paraId="57099964">
      <w:pPr>
        <w:spacing w:before="51" w:line="353" w:lineRule="auto"/>
        <w:ind w:left="35" w:right="13" w:firstLine="569"/>
        <w:rPr>
          <w:rFonts w:ascii="仿宋" w:hAnsi="仿宋" w:eastAsia="仿宋" w:cs="仿宋"/>
          <w:sz w:val="28"/>
          <w:szCs w:val="28"/>
        </w:rPr>
      </w:pPr>
      <w:r>
        <w:rPr>
          <w:rFonts w:ascii="仿宋" w:hAnsi="仿宋" w:eastAsia="仿宋" w:cs="仿宋"/>
          <w:b/>
          <w:bCs/>
          <w:sz w:val="28"/>
          <w:szCs w:val="28"/>
        </w:rPr>
        <w:t>第十五条</w:t>
      </w:r>
      <w:r>
        <w:rPr>
          <w:rFonts w:ascii="仿宋" w:hAnsi="仿宋" w:eastAsia="仿宋" w:cs="仿宋"/>
          <w:sz w:val="28"/>
          <w:szCs w:val="28"/>
        </w:rPr>
        <w:t xml:space="preserve"> 党员应模范地遵守法律法规，严格遵守党纪，无违法 </w:t>
      </w:r>
      <w:r>
        <w:rPr>
          <w:rFonts w:ascii="仿宋" w:hAnsi="仿宋" w:eastAsia="仿宋" w:cs="仿宋"/>
          <w:spacing w:val="-5"/>
          <w:sz w:val="28"/>
          <w:szCs w:val="28"/>
        </w:rPr>
        <w:t>违纪现象，全面履行岗位职责，</w:t>
      </w:r>
      <w:r>
        <w:rPr>
          <w:rFonts w:ascii="仿宋" w:hAnsi="仿宋" w:eastAsia="仿宋" w:cs="仿宋"/>
          <w:spacing w:val="-56"/>
          <w:sz w:val="28"/>
          <w:szCs w:val="28"/>
        </w:rPr>
        <w:t xml:space="preserve"> </w:t>
      </w:r>
      <w:r>
        <w:rPr>
          <w:rFonts w:ascii="仿宋" w:hAnsi="仿宋" w:eastAsia="仿宋" w:cs="仿宋"/>
          <w:spacing w:val="-5"/>
          <w:sz w:val="28"/>
          <w:szCs w:val="28"/>
        </w:rPr>
        <w:t>自我管理严格。</w:t>
      </w:r>
    </w:p>
    <w:p w14:paraId="26D6954C">
      <w:pPr>
        <w:spacing w:before="50" w:line="353" w:lineRule="auto"/>
        <w:ind w:left="33" w:right="13" w:firstLine="571"/>
        <w:rPr>
          <w:rFonts w:ascii="仿宋" w:hAnsi="仿宋" w:eastAsia="仿宋" w:cs="仿宋"/>
          <w:sz w:val="28"/>
          <w:szCs w:val="28"/>
        </w:rPr>
      </w:pPr>
      <w:r>
        <w:rPr>
          <w:rFonts w:ascii="仿宋" w:hAnsi="仿宋" w:eastAsia="仿宋" w:cs="仿宋"/>
          <w:b/>
          <w:bCs/>
          <w:sz w:val="28"/>
          <w:szCs w:val="28"/>
        </w:rPr>
        <w:t>第十六条</w:t>
      </w:r>
      <w:r>
        <w:rPr>
          <w:rFonts w:ascii="仿宋" w:hAnsi="仿宋" w:eastAsia="仿宋" w:cs="仿宋"/>
          <w:sz w:val="28"/>
          <w:szCs w:val="28"/>
        </w:rPr>
        <w:t xml:space="preserve"> 加强流动党员教育管理，依据简便、易行、实效原则 </w:t>
      </w:r>
      <w:r>
        <w:rPr>
          <w:rFonts w:ascii="仿宋" w:hAnsi="仿宋" w:eastAsia="仿宋" w:cs="仿宋"/>
          <w:spacing w:val="-2"/>
          <w:sz w:val="28"/>
          <w:szCs w:val="28"/>
        </w:rPr>
        <w:t>建立党员信息数据库，加强动态管理。</w:t>
      </w:r>
    </w:p>
    <w:p w14:paraId="09D6A5AF">
      <w:pPr>
        <w:spacing w:before="48" w:line="354" w:lineRule="auto"/>
        <w:ind w:left="36" w:right="13" w:firstLine="567"/>
        <w:rPr>
          <w:rFonts w:ascii="仿宋" w:hAnsi="仿宋" w:eastAsia="仿宋" w:cs="仿宋"/>
          <w:sz w:val="28"/>
          <w:szCs w:val="28"/>
        </w:rPr>
      </w:pPr>
      <w:r>
        <w:rPr>
          <w:rFonts w:ascii="仿宋" w:hAnsi="仿宋" w:eastAsia="仿宋" w:cs="仿宋"/>
          <w:b/>
          <w:bCs/>
          <w:sz w:val="28"/>
          <w:szCs w:val="28"/>
        </w:rPr>
        <w:t>第十七条</w:t>
      </w:r>
      <w:r>
        <w:rPr>
          <w:rFonts w:ascii="仿宋" w:hAnsi="仿宋" w:eastAsia="仿宋" w:cs="仿宋"/>
          <w:sz w:val="28"/>
          <w:szCs w:val="28"/>
        </w:rPr>
        <w:t xml:space="preserve"> 加强对入党积极分子的教育培养，发展党员工作有计 </w:t>
      </w:r>
      <w:r>
        <w:rPr>
          <w:rFonts w:ascii="仿宋" w:hAnsi="仿宋" w:eastAsia="仿宋" w:cs="仿宋"/>
          <w:spacing w:val="-3"/>
          <w:sz w:val="28"/>
          <w:szCs w:val="28"/>
        </w:rPr>
        <w:t>划、有效果、有质量。</w:t>
      </w:r>
    </w:p>
    <w:p w14:paraId="0BBE792A">
      <w:pPr>
        <w:spacing w:before="46" w:line="359" w:lineRule="auto"/>
        <w:ind w:left="35" w:right="13" w:firstLine="569"/>
        <w:jc w:val="both"/>
        <w:rPr>
          <w:rFonts w:ascii="仿宋" w:hAnsi="仿宋" w:eastAsia="仿宋" w:cs="仿宋"/>
          <w:sz w:val="28"/>
          <w:szCs w:val="28"/>
        </w:rPr>
      </w:pPr>
      <w:r>
        <w:rPr>
          <w:rFonts w:ascii="仿宋" w:hAnsi="仿宋" w:eastAsia="仿宋" w:cs="仿宋"/>
          <w:b/>
          <w:bCs/>
          <w:spacing w:val="-2"/>
          <w:sz w:val="28"/>
          <w:szCs w:val="28"/>
        </w:rPr>
        <w:t>第十八条</w:t>
      </w:r>
      <w:r>
        <w:rPr>
          <w:rFonts w:ascii="仿宋" w:hAnsi="仿宋" w:eastAsia="仿宋" w:cs="仿宋"/>
          <w:spacing w:val="53"/>
          <w:sz w:val="28"/>
          <w:szCs w:val="28"/>
        </w:rPr>
        <w:t xml:space="preserve"> </w:t>
      </w:r>
      <w:r>
        <w:rPr>
          <w:rFonts w:ascii="仿宋" w:hAnsi="仿宋" w:eastAsia="仿宋" w:cs="仿宋"/>
          <w:spacing w:val="-2"/>
          <w:sz w:val="28"/>
          <w:szCs w:val="28"/>
        </w:rPr>
        <w:t>以党性教育为重点，加强和创新党员教育培训，认真</w:t>
      </w:r>
      <w:r>
        <w:rPr>
          <w:rFonts w:ascii="仿宋" w:hAnsi="仿宋" w:eastAsia="仿宋" w:cs="仿宋"/>
          <w:sz w:val="28"/>
          <w:szCs w:val="28"/>
        </w:rPr>
        <w:t xml:space="preserve"> </w:t>
      </w:r>
      <w:r>
        <w:rPr>
          <w:rFonts w:ascii="仿宋" w:hAnsi="仿宋" w:eastAsia="仿宋" w:cs="仿宋"/>
          <w:spacing w:val="-4"/>
          <w:sz w:val="28"/>
          <w:szCs w:val="28"/>
        </w:rPr>
        <w:t>分析本组织党员现状，以问题为导向，全面抓好党员日常教育，不断</w:t>
      </w:r>
      <w:r>
        <w:rPr>
          <w:rFonts w:ascii="仿宋" w:hAnsi="仿宋" w:eastAsia="仿宋" w:cs="仿宋"/>
          <w:sz w:val="28"/>
          <w:szCs w:val="28"/>
        </w:rPr>
        <w:t xml:space="preserve"> </w:t>
      </w:r>
      <w:r>
        <w:rPr>
          <w:rFonts w:ascii="仿宋" w:hAnsi="仿宋" w:eastAsia="仿宋" w:cs="仿宋"/>
          <w:spacing w:val="-4"/>
          <w:sz w:val="28"/>
          <w:szCs w:val="28"/>
        </w:rPr>
        <w:t>提高党员素质。党员除参加上级党组织教育培训活动外，学习教育每</w:t>
      </w:r>
    </w:p>
    <w:p w14:paraId="72C5688E">
      <w:pPr>
        <w:spacing w:line="359" w:lineRule="auto"/>
        <w:rPr>
          <w:rFonts w:ascii="仿宋" w:hAnsi="仿宋" w:eastAsia="仿宋" w:cs="仿宋"/>
          <w:sz w:val="28"/>
          <w:szCs w:val="28"/>
        </w:rPr>
        <w:sectPr>
          <w:footerReference r:id="rId21" w:type="default"/>
          <w:pgSz w:w="11900" w:h="16841"/>
          <w:pgMar w:top="400" w:right="1785" w:bottom="913" w:left="1785" w:header="0" w:footer="737" w:gutter="0"/>
          <w:pgNumType w:fmt="decimal"/>
          <w:cols w:space="720" w:num="1"/>
        </w:sectPr>
      </w:pPr>
    </w:p>
    <w:p w14:paraId="3E564356">
      <w:pPr>
        <w:spacing w:line="287" w:lineRule="auto"/>
        <w:rPr>
          <w:rFonts w:ascii="Arial"/>
          <w:sz w:val="21"/>
        </w:rPr>
      </w:pPr>
    </w:p>
    <w:p w14:paraId="0ECF9F4A">
      <w:pPr>
        <w:spacing w:line="287" w:lineRule="auto"/>
        <w:rPr>
          <w:rFonts w:ascii="Arial"/>
          <w:sz w:val="21"/>
        </w:rPr>
      </w:pPr>
    </w:p>
    <w:p w14:paraId="6D4CC3FC">
      <w:pPr>
        <w:spacing w:line="287" w:lineRule="auto"/>
        <w:rPr>
          <w:rFonts w:ascii="Arial"/>
          <w:sz w:val="21"/>
        </w:rPr>
      </w:pPr>
    </w:p>
    <w:p w14:paraId="14BB9122">
      <w:pPr>
        <w:spacing w:line="287" w:lineRule="auto"/>
        <w:rPr>
          <w:rFonts w:ascii="Arial"/>
          <w:sz w:val="21"/>
        </w:rPr>
      </w:pPr>
    </w:p>
    <w:p w14:paraId="2C8CE489">
      <w:pPr>
        <w:spacing w:before="91" w:line="355" w:lineRule="auto"/>
        <w:ind w:left="38" w:right="80" w:firstLine="1"/>
        <w:rPr>
          <w:rFonts w:ascii="仿宋" w:hAnsi="仿宋" w:eastAsia="仿宋" w:cs="仿宋"/>
          <w:sz w:val="28"/>
          <w:szCs w:val="28"/>
        </w:rPr>
      </w:pPr>
      <w:r>
        <w:rPr>
          <w:rFonts w:ascii="仿宋" w:hAnsi="仿宋" w:eastAsia="仿宋" w:cs="仿宋"/>
          <w:spacing w:val="-7"/>
          <w:sz w:val="28"/>
          <w:szCs w:val="28"/>
        </w:rPr>
        <w:t>年不少于</w:t>
      </w:r>
      <w:r>
        <w:rPr>
          <w:rFonts w:ascii="仿宋" w:hAnsi="仿宋" w:eastAsia="仿宋" w:cs="仿宋"/>
          <w:spacing w:val="-40"/>
          <w:sz w:val="28"/>
          <w:szCs w:val="28"/>
        </w:rPr>
        <w:t xml:space="preserve"> </w:t>
      </w:r>
      <w:r>
        <w:rPr>
          <w:rFonts w:ascii="仿宋" w:hAnsi="仿宋" w:eastAsia="仿宋" w:cs="仿宋"/>
          <w:spacing w:val="-7"/>
          <w:sz w:val="28"/>
          <w:szCs w:val="28"/>
        </w:rPr>
        <w:t>16</w:t>
      </w:r>
      <w:r>
        <w:rPr>
          <w:rFonts w:ascii="仿宋" w:hAnsi="仿宋" w:eastAsia="仿宋" w:cs="仿宋"/>
          <w:spacing w:val="-41"/>
          <w:sz w:val="28"/>
          <w:szCs w:val="28"/>
        </w:rPr>
        <w:t xml:space="preserve"> </w:t>
      </w:r>
      <w:r>
        <w:rPr>
          <w:rFonts w:ascii="仿宋" w:hAnsi="仿宋" w:eastAsia="仿宋" w:cs="仿宋"/>
          <w:spacing w:val="-7"/>
          <w:sz w:val="28"/>
          <w:szCs w:val="28"/>
        </w:rPr>
        <w:t>学时，领导班子成员不少于</w:t>
      </w:r>
      <w:r>
        <w:rPr>
          <w:rFonts w:ascii="仿宋" w:hAnsi="仿宋" w:eastAsia="仿宋" w:cs="仿宋"/>
          <w:spacing w:val="-58"/>
          <w:sz w:val="28"/>
          <w:szCs w:val="28"/>
        </w:rPr>
        <w:t xml:space="preserve"> </w:t>
      </w:r>
      <w:r>
        <w:rPr>
          <w:rFonts w:ascii="仿宋" w:hAnsi="仿宋" w:eastAsia="仿宋" w:cs="仿宋"/>
          <w:spacing w:val="-7"/>
          <w:sz w:val="28"/>
          <w:szCs w:val="28"/>
        </w:rPr>
        <w:t>24</w:t>
      </w:r>
      <w:r>
        <w:rPr>
          <w:rFonts w:ascii="仿宋" w:hAnsi="仿宋" w:eastAsia="仿宋" w:cs="仿宋"/>
          <w:spacing w:val="-41"/>
          <w:sz w:val="28"/>
          <w:szCs w:val="28"/>
        </w:rPr>
        <w:t xml:space="preserve"> </w:t>
      </w:r>
      <w:r>
        <w:rPr>
          <w:rFonts w:ascii="仿宋" w:hAnsi="仿宋" w:eastAsia="仿宋" w:cs="仿宋"/>
          <w:spacing w:val="-7"/>
          <w:sz w:val="28"/>
          <w:szCs w:val="28"/>
        </w:rPr>
        <w:t>学时，缺</w:t>
      </w:r>
      <w:r>
        <w:rPr>
          <w:rFonts w:ascii="仿宋" w:hAnsi="仿宋" w:eastAsia="仿宋" w:cs="仿宋"/>
          <w:spacing w:val="-8"/>
          <w:sz w:val="28"/>
          <w:szCs w:val="28"/>
        </w:rPr>
        <w:t>席人员应补学或</w:t>
      </w:r>
      <w:r>
        <w:rPr>
          <w:rFonts w:ascii="仿宋" w:hAnsi="仿宋" w:eastAsia="仿宋" w:cs="仿宋"/>
          <w:sz w:val="28"/>
          <w:szCs w:val="28"/>
        </w:rPr>
        <w:t xml:space="preserve"> </w:t>
      </w:r>
      <w:r>
        <w:rPr>
          <w:rFonts w:ascii="仿宋" w:hAnsi="仿宋" w:eastAsia="仿宋" w:cs="仿宋"/>
          <w:spacing w:val="-8"/>
          <w:sz w:val="28"/>
          <w:szCs w:val="28"/>
        </w:rPr>
        <w:t>补课。</w:t>
      </w:r>
    </w:p>
    <w:p w14:paraId="345E9ED8">
      <w:pPr>
        <w:spacing w:before="44" w:line="222" w:lineRule="auto"/>
        <w:ind w:left="2651"/>
        <w:rPr>
          <w:rFonts w:ascii="黑体" w:hAnsi="黑体" w:eastAsia="黑体" w:cs="黑体"/>
          <w:sz w:val="28"/>
          <w:szCs w:val="28"/>
        </w:rPr>
      </w:pPr>
      <w:r>
        <w:rPr>
          <w:rFonts w:ascii="黑体" w:hAnsi="黑体" w:eastAsia="黑体" w:cs="黑体"/>
          <w:b/>
          <w:bCs/>
          <w:spacing w:val="-5"/>
          <w:sz w:val="28"/>
          <w:szCs w:val="28"/>
        </w:rPr>
        <w:t>第十章</w:t>
      </w:r>
      <w:r>
        <w:rPr>
          <w:rFonts w:ascii="黑体" w:hAnsi="黑体" w:eastAsia="黑体" w:cs="黑体"/>
          <w:spacing w:val="116"/>
          <w:sz w:val="28"/>
          <w:szCs w:val="28"/>
        </w:rPr>
        <w:t xml:space="preserve"> </w:t>
      </w:r>
      <w:r>
        <w:rPr>
          <w:rFonts w:ascii="黑体" w:hAnsi="黑体" w:eastAsia="黑体" w:cs="黑体"/>
          <w:b/>
          <w:bCs/>
          <w:spacing w:val="-5"/>
          <w:sz w:val="28"/>
          <w:szCs w:val="28"/>
        </w:rPr>
        <w:t>党支部制度建设</w:t>
      </w:r>
    </w:p>
    <w:p w14:paraId="4CF7D42C">
      <w:pPr>
        <w:spacing w:before="221" w:line="353" w:lineRule="auto"/>
        <w:ind w:left="39" w:right="82" w:firstLine="565"/>
        <w:rPr>
          <w:rFonts w:ascii="仿宋" w:hAnsi="仿宋" w:eastAsia="仿宋" w:cs="仿宋"/>
          <w:sz w:val="28"/>
          <w:szCs w:val="28"/>
        </w:rPr>
      </w:pPr>
      <w:r>
        <w:rPr>
          <w:rFonts w:ascii="仿宋" w:hAnsi="仿宋" w:eastAsia="仿宋" w:cs="仿宋"/>
          <w:b/>
          <w:bCs/>
          <w:spacing w:val="-7"/>
          <w:sz w:val="28"/>
          <w:szCs w:val="28"/>
        </w:rPr>
        <w:t>第十九条</w:t>
      </w:r>
      <w:r>
        <w:rPr>
          <w:rFonts w:ascii="仿宋" w:hAnsi="仿宋" w:eastAsia="仿宋" w:cs="仿宋"/>
          <w:spacing w:val="-7"/>
          <w:sz w:val="28"/>
          <w:szCs w:val="28"/>
        </w:rPr>
        <w:t>“ 三会一课</w:t>
      </w:r>
      <w:r>
        <w:rPr>
          <w:rFonts w:ascii="仿宋" w:hAnsi="仿宋" w:eastAsia="仿宋" w:cs="仿宋"/>
          <w:spacing w:val="52"/>
          <w:sz w:val="28"/>
          <w:szCs w:val="28"/>
        </w:rPr>
        <w:t xml:space="preserve"> </w:t>
      </w:r>
      <w:r>
        <w:rPr>
          <w:rFonts w:ascii="仿宋" w:hAnsi="仿宋" w:eastAsia="仿宋" w:cs="仿宋"/>
          <w:spacing w:val="-7"/>
          <w:sz w:val="28"/>
          <w:szCs w:val="28"/>
        </w:rPr>
        <w:t>”、民主评议党员、党员教育培训和党性</w:t>
      </w:r>
      <w:r>
        <w:rPr>
          <w:rFonts w:ascii="仿宋" w:hAnsi="仿宋" w:eastAsia="仿宋" w:cs="仿宋"/>
          <w:sz w:val="28"/>
          <w:szCs w:val="28"/>
        </w:rPr>
        <w:t xml:space="preserve"> </w:t>
      </w:r>
      <w:r>
        <w:rPr>
          <w:rFonts w:ascii="仿宋" w:hAnsi="仿宋" w:eastAsia="仿宋" w:cs="仿宋"/>
          <w:spacing w:val="-2"/>
          <w:sz w:val="28"/>
          <w:szCs w:val="28"/>
        </w:rPr>
        <w:t>定期分析等工 作，并按时、按需、有序落实。</w:t>
      </w:r>
    </w:p>
    <w:p w14:paraId="5780EAD6">
      <w:pPr>
        <w:spacing w:before="49" w:line="221" w:lineRule="auto"/>
        <w:ind w:left="604"/>
        <w:rPr>
          <w:rFonts w:ascii="仿宋" w:hAnsi="仿宋" w:eastAsia="仿宋" w:cs="仿宋"/>
          <w:sz w:val="28"/>
          <w:szCs w:val="28"/>
        </w:rPr>
      </w:pPr>
      <w:r>
        <w:rPr>
          <w:rFonts w:ascii="仿宋" w:hAnsi="仿宋" w:eastAsia="仿宋" w:cs="仿宋"/>
          <w:b/>
          <w:bCs/>
          <w:spacing w:val="-2"/>
          <w:sz w:val="28"/>
          <w:szCs w:val="28"/>
        </w:rPr>
        <w:t>第二十条</w:t>
      </w:r>
      <w:r>
        <w:rPr>
          <w:rFonts w:ascii="仿宋" w:hAnsi="仿宋" w:eastAsia="仿宋" w:cs="仿宋"/>
          <w:spacing w:val="-2"/>
          <w:sz w:val="28"/>
          <w:szCs w:val="28"/>
        </w:rPr>
        <w:t xml:space="preserve"> 认真落实党建工作责任制，实行目标管理。</w:t>
      </w:r>
    </w:p>
    <w:p w14:paraId="42248689">
      <w:pPr>
        <w:spacing w:before="225" w:line="358" w:lineRule="auto"/>
        <w:ind w:left="35" w:firstLine="569"/>
        <w:rPr>
          <w:rFonts w:ascii="仿宋" w:hAnsi="仿宋" w:eastAsia="仿宋" w:cs="仿宋"/>
          <w:sz w:val="28"/>
          <w:szCs w:val="28"/>
        </w:rPr>
      </w:pPr>
      <w:r>
        <w:rPr>
          <w:rFonts w:ascii="仿宋" w:hAnsi="仿宋" w:eastAsia="仿宋" w:cs="仿宋"/>
          <w:b/>
          <w:bCs/>
          <w:spacing w:val="-7"/>
          <w:sz w:val="28"/>
          <w:szCs w:val="28"/>
        </w:rPr>
        <w:t>第二十一条</w:t>
      </w:r>
      <w:r>
        <w:rPr>
          <w:rFonts w:ascii="仿宋" w:hAnsi="仿宋" w:eastAsia="仿宋" w:cs="仿宋"/>
          <w:spacing w:val="-7"/>
          <w:sz w:val="28"/>
          <w:szCs w:val="28"/>
        </w:rPr>
        <w:t xml:space="preserve"> 建立健全党务公开，规范公开程序，明确公开内容，</w:t>
      </w:r>
      <w:r>
        <w:rPr>
          <w:rFonts w:ascii="仿宋" w:hAnsi="仿宋" w:eastAsia="仿宋" w:cs="仿宋"/>
          <w:sz w:val="28"/>
          <w:szCs w:val="28"/>
        </w:rPr>
        <w:t xml:space="preserve"> </w:t>
      </w:r>
      <w:r>
        <w:rPr>
          <w:rFonts w:ascii="仿宋" w:hAnsi="仿宋" w:eastAsia="仿宋" w:cs="仿宋"/>
          <w:spacing w:val="-6"/>
          <w:sz w:val="28"/>
          <w:szCs w:val="28"/>
        </w:rPr>
        <w:t>创新公开形 式，保障和落实党员知情权、参与权、选举权、监督权，</w:t>
      </w:r>
      <w:r>
        <w:rPr>
          <w:rFonts w:ascii="仿宋" w:hAnsi="仿宋" w:eastAsia="仿宋" w:cs="仿宋"/>
          <w:spacing w:val="6"/>
          <w:sz w:val="28"/>
          <w:szCs w:val="28"/>
        </w:rPr>
        <w:t xml:space="preserve"> </w:t>
      </w:r>
      <w:r>
        <w:rPr>
          <w:rFonts w:ascii="仿宋" w:hAnsi="仿宋" w:eastAsia="仿宋" w:cs="仿宋"/>
          <w:sz w:val="28"/>
          <w:szCs w:val="28"/>
        </w:rPr>
        <w:t>提高党员对党内事务的 参与度，发挥党员在党内政治生活中的主体</w:t>
      </w:r>
    </w:p>
    <w:p w14:paraId="78B7DB3D">
      <w:pPr>
        <w:spacing w:line="50" w:lineRule="exact"/>
      </w:pPr>
    </w:p>
    <w:tbl>
      <w:tblPr>
        <w:tblStyle w:val="6"/>
        <w:tblW w:w="8276" w:type="dxa"/>
        <w:tblInd w:w="3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19"/>
        <w:gridCol w:w="6257"/>
      </w:tblGrid>
      <w:tr w14:paraId="0C1412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4" w:hRule="atLeast"/>
        </w:trPr>
        <w:tc>
          <w:tcPr>
            <w:tcW w:w="2019" w:type="dxa"/>
            <w:vAlign w:val="top"/>
          </w:tcPr>
          <w:p w14:paraId="64F01057">
            <w:pPr>
              <w:pStyle w:val="7"/>
              <w:spacing w:before="1" w:line="220" w:lineRule="auto"/>
            </w:pPr>
            <w:r>
              <w:rPr>
                <w:spacing w:val="-8"/>
              </w:rPr>
              <w:t>作用。</w:t>
            </w:r>
          </w:p>
        </w:tc>
        <w:tc>
          <w:tcPr>
            <w:tcW w:w="6257" w:type="dxa"/>
            <w:vAlign w:val="top"/>
          </w:tcPr>
          <w:p w14:paraId="4A252BDF">
            <w:pPr>
              <w:rPr>
                <w:rFonts w:ascii="Arial"/>
                <w:sz w:val="21"/>
              </w:rPr>
            </w:pPr>
          </w:p>
        </w:tc>
      </w:tr>
      <w:tr w14:paraId="7F8CD7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2019" w:type="dxa"/>
            <w:vAlign w:val="top"/>
          </w:tcPr>
          <w:p w14:paraId="0E2B8A13">
            <w:pPr>
              <w:pStyle w:val="7"/>
              <w:spacing w:before="137" w:line="223" w:lineRule="auto"/>
              <w:ind w:left="566"/>
            </w:pPr>
            <w:r>
              <w:rPr>
                <w:b/>
                <w:bCs/>
                <w:spacing w:val="-5"/>
              </w:rPr>
              <w:t>第二十二条</w:t>
            </w:r>
          </w:p>
        </w:tc>
        <w:tc>
          <w:tcPr>
            <w:tcW w:w="6257" w:type="dxa"/>
            <w:vAlign w:val="top"/>
          </w:tcPr>
          <w:p w14:paraId="7B0319F3">
            <w:pPr>
              <w:pStyle w:val="7"/>
              <w:spacing w:before="138" w:line="222" w:lineRule="auto"/>
              <w:jc w:val="right"/>
            </w:pPr>
            <w:r>
              <w:t>建立创先争优长效机制，注重选树典型，增强党建</w:t>
            </w:r>
          </w:p>
        </w:tc>
      </w:tr>
      <w:tr w14:paraId="281BB2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2019" w:type="dxa"/>
            <w:vAlign w:val="top"/>
          </w:tcPr>
          <w:p w14:paraId="02868B9B">
            <w:pPr>
              <w:pStyle w:val="7"/>
              <w:spacing w:before="136" w:line="221" w:lineRule="auto"/>
              <w:ind w:left="2"/>
            </w:pPr>
            <w:r>
              <w:rPr>
                <w:spacing w:val="-4"/>
              </w:rPr>
              <w:t>工作影响力。</w:t>
            </w:r>
          </w:p>
        </w:tc>
        <w:tc>
          <w:tcPr>
            <w:tcW w:w="6257" w:type="dxa"/>
            <w:vAlign w:val="top"/>
          </w:tcPr>
          <w:p w14:paraId="05FBBE95">
            <w:pPr>
              <w:rPr>
                <w:rFonts w:ascii="Arial"/>
                <w:sz w:val="21"/>
              </w:rPr>
            </w:pPr>
          </w:p>
        </w:tc>
      </w:tr>
      <w:tr w14:paraId="66AB31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20" w:hRule="atLeast"/>
        </w:trPr>
        <w:tc>
          <w:tcPr>
            <w:tcW w:w="2019" w:type="dxa"/>
            <w:vAlign w:val="top"/>
          </w:tcPr>
          <w:p w14:paraId="5EE6B988">
            <w:pPr>
              <w:pStyle w:val="7"/>
              <w:spacing w:before="139" w:line="223" w:lineRule="auto"/>
              <w:ind w:left="566"/>
            </w:pPr>
            <w:r>
              <w:rPr>
                <w:b/>
                <w:bCs/>
                <w:spacing w:val="-9"/>
              </w:rPr>
              <w:t>第二十三条</w:t>
            </w:r>
          </w:p>
        </w:tc>
        <w:tc>
          <w:tcPr>
            <w:tcW w:w="6257" w:type="dxa"/>
            <w:vAlign w:val="top"/>
          </w:tcPr>
          <w:p w14:paraId="5E8898D8">
            <w:pPr>
              <w:pStyle w:val="7"/>
              <w:spacing w:before="136" w:line="221" w:lineRule="auto"/>
              <w:ind w:left="86"/>
            </w:pPr>
            <w:r>
              <w:rPr>
                <w:spacing w:val="-2"/>
              </w:rPr>
              <w:t>完善档案管理制度，规范管理党建工作档案。</w:t>
            </w:r>
          </w:p>
          <w:p w14:paraId="3952B6E4">
            <w:pPr>
              <w:spacing w:before="227" w:line="222" w:lineRule="auto"/>
              <w:ind w:left="505"/>
              <w:rPr>
                <w:rFonts w:ascii="黑体" w:hAnsi="黑体" w:eastAsia="黑体" w:cs="黑体"/>
                <w:sz w:val="28"/>
                <w:szCs w:val="28"/>
              </w:rPr>
            </w:pPr>
            <w:r>
              <w:rPr>
                <w:rFonts w:ascii="黑体" w:hAnsi="黑体" w:eastAsia="黑体" w:cs="黑体"/>
                <w:b/>
                <w:bCs/>
                <w:spacing w:val="-3"/>
                <w:sz w:val="28"/>
                <w:szCs w:val="28"/>
              </w:rPr>
              <w:t>第十一章</w:t>
            </w:r>
            <w:r>
              <w:rPr>
                <w:rFonts w:ascii="黑体" w:hAnsi="黑体" w:eastAsia="黑体" w:cs="黑体"/>
                <w:spacing w:val="-3"/>
                <w:sz w:val="28"/>
                <w:szCs w:val="28"/>
              </w:rPr>
              <w:t xml:space="preserve"> </w:t>
            </w:r>
            <w:r>
              <w:rPr>
                <w:rFonts w:ascii="黑体" w:hAnsi="黑体" w:eastAsia="黑体" w:cs="黑体"/>
                <w:b/>
                <w:bCs/>
                <w:spacing w:val="-3"/>
                <w:sz w:val="28"/>
                <w:szCs w:val="28"/>
              </w:rPr>
              <w:t>党支部阵地建设</w:t>
            </w:r>
          </w:p>
        </w:tc>
      </w:tr>
      <w:tr w14:paraId="0CC6B8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2019" w:type="dxa"/>
            <w:vAlign w:val="top"/>
          </w:tcPr>
          <w:p w14:paraId="75F1ED42">
            <w:pPr>
              <w:pStyle w:val="7"/>
              <w:spacing w:before="137" w:line="223" w:lineRule="auto"/>
              <w:ind w:left="566"/>
            </w:pPr>
            <w:r>
              <w:rPr>
                <w:b/>
                <w:bCs/>
                <w:spacing w:val="-9"/>
              </w:rPr>
              <w:t>第二十四条</w:t>
            </w:r>
          </w:p>
        </w:tc>
        <w:tc>
          <w:tcPr>
            <w:tcW w:w="6257" w:type="dxa"/>
            <w:vAlign w:val="top"/>
          </w:tcPr>
          <w:p w14:paraId="3F464049">
            <w:pPr>
              <w:pStyle w:val="7"/>
              <w:spacing w:before="137" w:line="221" w:lineRule="auto"/>
              <w:ind w:left="88"/>
            </w:pPr>
            <w:r>
              <w:rPr>
                <w:spacing w:val="-2"/>
              </w:rPr>
              <w:t>党支部机构有标识，有党旗，有党建工作制度。</w:t>
            </w:r>
          </w:p>
        </w:tc>
      </w:tr>
      <w:tr w14:paraId="51C573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6" w:hRule="atLeast"/>
        </w:trPr>
        <w:tc>
          <w:tcPr>
            <w:tcW w:w="2019" w:type="dxa"/>
            <w:vAlign w:val="top"/>
          </w:tcPr>
          <w:p w14:paraId="14D85FE7">
            <w:pPr>
              <w:pStyle w:val="7"/>
              <w:spacing w:before="139" w:line="182" w:lineRule="auto"/>
              <w:ind w:left="566"/>
            </w:pPr>
            <w:r>
              <w:rPr>
                <w:b/>
                <w:bCs/>
                <w:spacing w:val="-9"/>
              </w:rPr>
              <w:t>第二十五条</w:t>
            </w:r>
          </w:p>
        </w:tc>
        <w:tc>
          <w:tcPr>
            <w:tcW w:w="6257" w:type="dxa"/>
            <w:vAlign w:val="top"/>
          </w:tcPr>
          <w:p w14:paraId="576A7045">
            <w:pPr>
              <w:pStyle w:val="7"/>
              <w:spacing w:before="136" w:line="184" w:lineRule="auto"/>
              <w:jc w:val="right"/>
            </w:pPr>
            <w:r>
              <w:t>有综合利用党员活动场所，保证党支部活动基本需</w:t>
            </w:r>
          </w:p>
        </w:tc>
      </w:tr>
    </w:tbl>
    <w:p w14:paraId="1FFBA1F7">
      <w:pPr>
        <w:spacing w:before="271" w:line="224" w:lineRule="auto"/>
        <w:ind w:left="39"/>
        <w:rPr>
          <w:rFonts w:ascii="仿宋" w:hAnsi="仿宋" w:eastAsia="仿宋" w:cs="仿宋"/>
          <w:sz w:val="28"/>
          <w:szCs w:val="28"/>
        </w:rPr>
      </w:pPr>
      <w:r>
        <w:rPr>
          <w:rFonts w:ascii="仿宋" w:hAnsi="仿宋" w:eastAsia="仿宋" w:cs="仿宋"/>
          <w:spacing w:val="-2"/>
          <w:sz w:val="28"/>
          <w:szCs w:val="28"/>
        </w:rPr>
        <w:t>要，适时配备基础电教设备。</w:t>
      </w:r>
    </w:p>
    <w:p w14:paraId="55CCB6D7">
      <w:pPr>
        <w:spacing w:before="220" w:line="353" w:lineRule="auto"/>
        <w:ind w:left="33" w:firstLine="571"/>
        <w:rPr>
          <w:rFonts w:ascii="仿宋" w:hAnsi="仿宋" w:eastAsia="仿宋" w:cs="仿宋"/>
          <w:sz w:val="28"/>
          <w:szCs w:val="28"/>
        </w:rPr>
      </w:pPr>
      <w:r>
        <w:rPr>
          <w:rFonts w:ascii="仿宋" w:hAnsi="仿宋" w:eastAsia="仿宋" w:cs="仿宋"/>
          <w:b/>
          <w:bCs/>
          <w:spacing w:val="-7"/>
          <w:sz w:val="28"/>
          <w:szCs w:val="28"/>
        </w:rPr>
        <w:t>第二十六条</w:t>
      </w:r>
      <w:r>
        <w:rPr>
          <w:rFonts w:ascii="仿宋" w:hAnsi="仿宋" w:eastAsia="仿宋" w:cs="仿宋"/>
          <w:spacing w:val="-7"/>
          <w:sz w:val="28"/>
          <w:szCs w:val="28"/>
        </w:rPr>
        <w:t xml:space="preserve"> 强化宣传阵地建设，因地制宜设计党建工作宣传栏，</w:t>
      </w:r>
      <w:r>
        <w:rPr>
          <w:rFonts w:ascii="仿宋" w:hAnsi="仿宋" w:eastAsia="仿宋" w:cs="仿宋"/>
          <w:sz w:val="28"/>
          <w:szCs w:val="28"/>
        </w:rPr>
        <w:t xml:space="preserve"> </w:t>
      </w:r>
      <w:r>
        <w:rPr>
          <w:rFonts w:ascii="仿宋" w:hAnsi="仿宋" w:eastAsia="仿宋" w:cs="仿宋"/>
          <w:spacing w:val="-1"/>
          <w:sz w:val="28"/>
          <w:szCs w:val="28"/>
        </w:rPr>
        <w:t>建立宣传报道网络，有专人负责通讯、宣传、报道工作。</w:t>
      </w:r>
    </w:p>
    <w:p w14:paraId="64FED063">
      <w:pPr>
        <w:spacing w:before="51" w:line="222" w:lineRule="auto"/>
        <w:ind w:left="2843"/>
        <w:rPr>
          <w:rFonts w:ascii="黑体" w:hAnsi="黑体" w:eastAsia="黑体" w:cs="黑体"/>
          <w:sz w:val="28"/>
          <w:szCs w:val="28"/>
        </w:rPr>
      </w:pPr>
      <w:r>
        <w:rPr>
          <w:rFonts w:ascii="黑体" w:hAnsi="黑体" w:eastAsia="黑体" w:cs="黑体"/>
          <w:b/>
          <w:bCs/>
          <w:spacing w:val="-4"/>
          <w:sz w:val="28"/>
          <w:szCs w:val="28"/>
        </w:rPr>
        <w:t>第十二章</w:t>
      </w:r>
      <w:r>
        <w:rPr>
          <w:rFonts w:ascii="黑体" w:hAnsi="黑体" w:eastAsia="黑体" w:cs="黑体"/>
          <w:spacing w:val="-4"/>
          <w:sz w:val="28"/>
          <w:szCs w:val="28"/>
        </w:rPr>
        <w:t xml:space="preserve"> </w:t>
      </w:r>
      <w:r>
        <w:rPr>
          <w:rFonts w:ascii="黑体" w:hAnsi="黑体" w:eastAsia="黑体" w:cs="黑体"/>
          <w:b/>
          <w:bCs/>
          <w:spacing w:val="-4"/>
          <w:sz w:val="28"/>
          <w:szCs w:val="28"/>
        </w:rPr>
        <w:t>党支部活动</w:t>
      </w:r>
    </w:p>
    <w:p w14:paraId="47DE62E0">
      <w:pPr>
        <w:spacing w:before="221" w:line="359" w:lineRule="auto"/>
        <w:ind w:left="33" w:right="27" w:firstLine="571"/>
        <w:jc w:val="both"/>
        <w:rPr>
          <w:rFonts w:ascii="仿宋" w:hAnsi="仿宋" w:eastAsia="仿宋" w:cs="仿宋"/>
          <w:sz w:val="28"/>
          <w:szCs w:val="28"/>
        </w:rPr>
      </w:pPr>
      <w:r>
        <w:rPr>
          <w:rFonts w:ascii="仿宋" w:hAnsi="仿宋" w:eastAsia="仿宋" w:cs="仿宋"/>
          <w:b/>
          <w:bCs/>
          <w:spacing w:val="-2"/>
          <w:sz w:val="28"/>
          <w:szCs w:val="28"/>
        </w:rPr>
        <w:t>第二十七条</w:t>
      </w:r>
      <w:r>
        <w:rPr>
          <w:rFonts w:ascii="仿宋" w:hAnsi="仿宋" w:eastAsia="仿宋" w:cs="仿宋"/>
          <w:spacing w:val="48"/>
          <w:sz w:val="28"/>
          <w:szCs w:val="28"/>
        </w:rPr>
        <w:t xml:space="preserve"> </w:t>
      </w:r>
      <w:r>
        <w:rPr>
          <w:rFonts w:ascii="仿宋" w:hAnsi="仿宋" w:eastAsia="仿宋" w:cs="仿宋"/>
          <w:spacing w:val="-2"/>
          <w:sz w:val="28"/>
          <w:szCs w:val="28"/>
        </w:rPr>
        <w:t>围绕基金会健康发展开展党支部活动，与基金会执</w:t>
      </w:r>
      <w:r>
        <w:rPr>
          <w:rFonts w:ascii="仿宋" w:hAnsi="仿宋" w:eastAsia="仿宋" w:cs="仿宋"/>
          <w:sz w:val="28"/>
          <w:szCs w:val="28"/>
        </w:rPr>
        <w:t xml:space="preserve"> </w:t>
      </w:r>
      <w:r>
        <w:rPr>
          <w:rFonts w:ascii="仿宋" w:hAnsi="仿宋" w:eastAsia="仿宋" w:cs="仿宋"/>
          <w:spacing w:val="-5"/>
          <w:sz w:val="28"/>
          <w:szCs w:val="28"/>
        </w:rPr>
        <w:t>业活动、</w:t>
      </w:r>
      <w:r>
        <w:rPr>
          <w:rFonts w:ascii="仿宋" w:hAnsi="仿宋" w:eastAsia="仿宋" w:cs="仿宋"/>
          <w:spacing w:val="-55"/>
          <w:sz w:val="28"/>
          <w:szCs w:val="28"/>
        </w:rPr>
        <w:t xml:space="preserve"> </w:t>
      </w:r>
      <w:r>
        <w:rPr>
          <w:rFonts w:ascii="仿宋" w:hAnsi="仿宋" w:eastAsia="仿宋" w:cs="仿宋"/>
          <w:spacing w:val="-5"/>
          <w:sz w:val="28"/>
          <w:szCs w:val="28"/>
        </w:rPr>
        <w:t>日常管理、文化建设等紧密结合、积极探索符合自身特点、</w:t>
      </w:r>
      <w:r>
        <w:rPr>
          <w:rFonts w:ascii="仿宋" w:hAnsi="仿宋" w:eastAsia="仿宋" w:cs="仿宋"/>
          <w:sz w:val="28"/>
          <w:szCs w:val="28"/>
        </w:rPr>
        <w:t xml:space="preserve"> </w:t>
      </w:r>
      <w:r>
        <w:rPr>
          <w:rFonts w:ascii="仿宋" w:hAnsi="仿宋" w:eastAsia="仿宋" w:cs="仿宋"/>
          <w:spacing w:val="-1"/>
          <w:sz w:val="28"/>
          <w:szCs w:val="28"/>
        </w:rPr>
        <w:t>品牌突出、针对性和操作性 强的党建主题活动等有效载体。</w:t>
      </w:r>
    </w:p>
    <w:p w14:paraId="1416AAC5">
      <w:pPr>
        <w:spacing w:before="47" w:line="223" w:lineRule="auto"/>
        <w:ind w:left="604"/>
        <w:rPr>
          <w:rFonts w:ascii="仿宋" w:hAnsi="仿宋" w:eastAsia="仿宋" w:cs="仿宋"/>
          <w:sz w:val="28"/>
          <w:szCs w:val="28"/>
        </w:rPr>
      </w:pPr>
      <w:r>
        <w:rPr>
          <w:rFonts w:ascii="仿宋" w:hAnsi="仿宋" w:eastAsia="仿宋" w:cs="仿宋"/>
          <w:b/>
          <w:bCs/>
          <w:sz w:val="28"/>
          <w:szCs w:val="28"/>
        </w:rPr>
        <w:t>第二十八条</w:t>
      </w:r>
      <w:r>
        <w:rPr>
          <w:rFonts w:ascii="仿宋" w:hAnsi="仿宋" w:eastAsia="仿宋" w:cs="仿宋"/>
          <w:sz w:val="28"/>
          <w:szCs w:val="28"/>
        </w:rPr>
        <w:t xml:space="preserve"> 贴近群众需求开展党支部活动，深</w:t>
      </w:r>
      <w:r>
        <w:rPr>
          <w:rFonts w:ascii="仿宋" w:hAnsi="仿宋" w:eastAsia="仿宋" w:cs="仿宋"/>
          <w:spacing w:val="-1"/>
          <w:sz w:val="28"/>
          <w:szCs w:val="28"/>
        </w:rPr>
        <w:t>入了解、密切关</w:t>
      </w:r>
    </w:p>
    <w:p w14:paraId="7A4D230A">
      <w:pPr>
        <w:spacing w:line="223" w:lineRule="auto"/>
        <w:rPr>
          <w:rFonts w:ascii="仿宋" w:hAnsi="仿宋" w:eastAsia="仿宋" w:cs="仿宋"/>
          <w:sz w:val="28"/>
          <w:szCs w:val="28"/>
        </w:rPr>
        <w:sectPr>
          <w:footerReference r:id="rId22" w:type="default"/>
          <w:pgSz w:w="11900" w:h="16841"/>
          <w:pgMar w:top="400" w:right="1717" w:bottom="969" w:left="1785" w:header="0" w:footer="907" w:gutter="0"/>
          <w:pgNumType w:fmt="decimal"/>
          <w:cols w:space="720" w:num="1"/>
        </w:sectPr>
      </w:pPr>
    </w:p>
    <w:p w14:paraId="0C14C80B">
      <w:pPr>
        <w:spacing w:line="286" w:lineRule="auto"/>
        <w:rPr>
          <w:rFonts w:ascii="Arial"/>
          <w:sz w:val="21"/>
        </w:rPr>
      </w:pPr>
    </w:p>
    <w:p w14:paraId="6BEDCFC8">
      <w:pPr>
        <w:spacing w:line="287" w:lineRule="auto"/>
        <w:rPr>
          <w:rFonts w:ascii="Arial"/>
          <w:sz w:val="21"/>
        </w:rPr>
      </w:pPr>
    </w:p>
    <w:p w14:paraId="78BAA62C">
      <w:pPr>
        <w:spacing w:line="287" w:lineRule="auto"/>
        <w:rPr>
          <w:rFonts w:ascii="Arial"/>
          <w:sz w:val="21"/>
        </w:rPr>
      </w:pPr>
    </w:p>
    <w:p w14:paraId="5FBB37CE">
      <w:pPr>
        <w:spacing w:line="287" w:lineRule="auto"/>
        <w:rPr>
          <w:rFonts w:ascii="Arial"/>
          <w:sz w:val="21"/>
        </w:rPr>
      </w:pPr>
    </w:p>
    <w:p w14:paraId="2C2DB1E8">
      <w:pPr>
        <w:spacing w:before="91" w:line="223" w:lineRule="auto"/>
        <w:ind w:left="41"/>
        <w:rPr>
          <w:rFonts w:ascii="仿宋" w:hAnsi="仿宋" w:eastAsia="仿宋" w:cs="仿宋"/>
          <w:sz w:val="28"/>
          <w:szCs w:val="28"/>
        </w:rPr>
      </w:pPr>
      <w:r>
        <w:rPr>
          <w:rFonts w:ascii="仿宋" w:hAnsi="仿宋" w:eastAsia="仿宋" w:cs="仿宋"/>
          <w:spacing w:val="-4"/>
          <w:sz w:val="28"/>
          <w:szCs w:val="28"/>
        </w:rPr>
        <w:t>注群众思想状况和实际需求，创新思想政治教育方式</w:t>
      </w:r>
      <w:r>
        <w:rPr>
          <w:rFonts w:ascii="仿宋" w:hAnsi="仿宋" w:eastAsia="仿宋" w:cs="仿宋"/>
          <w:spacing w:val="-5"/>
          <w:sz w:val="28"/>
          <w:szCs w:val="28"/>
        </w:rPr>
        <w:t>，提供群众期盼</w:t>
      </w:r>
    </w:p>
    <w:p w14:paraId="3BFE2047">
      <w:pPr>
        <w:spacing w:before="222" w:line="354" w:lineRule="auto"/>
        <w:ind w:left="41" w:right="15" w:firstLine="147"/>
        <w:rPr>
          <w:rFonts w:ascii="仿宋" w:hAnsi="仿宋" w:eastAsia="仿宋" w:cs="仿宋"/>
          <w:sz w:val="28"/>
          <w:szCs w:val="28"/>
        </w:rPr>
      </w:pPr>
      <w:r>
        <w:rPr>
          <w:rFonts w:ascii="仿宋" w:hAnsi="仿宋" w:eastAsia="仿宋" w:cs="仿宋"/>
          <w:sz w:val="28"/>
          <w:szCs w:val="28"/>
        </w:rPr>
        <w:t>的服务，加强人文关怀和心理疏导，积极为群众排忧解难。要寓教</w:t>
      </w:r>
      <w:r>
        <w:rPr>
          <w:rFonts w:ascii="仿宋" w:hAnsi="仿宋" w:eastAsia="仿宋" w:cs="仿宋"/>
          <w:spacing w:val="3"/>
          <w:sz w:val="28"/>
          <w:szCs w:val="28"/>
        </w:rPr>
        <w:t xml:space="preserve"> </w:t>
      </w:r>
      <w:r>
        <w:rPr>
          <w:rFonts w:ascii="仿宋" w:hAnsi="仿宋" w:eastAsia="仿宋" w:cs="仿宋"/>
          <w:spacing w:val="-1"/>
          <w:sz w:val="28"/>
          <w:szCs w:val="28"/>
        </w:rPr>
        <w:t>育于服务之中，切实增强党组织的吸引力和</w:t>
      </w:r>
      <w:r>
        <w:rPr>
          <w:rFonts w:ascii="仿宋" w:hAnsi="仿宋" w:eastAsia="仿宋" w:cs="仿宋"/>
          <w:spacing w:val="-2"/>
          <w:sz w:val="28"/>
          <w:szCs w:val="28"/>
        </w:rPr>
        <w:t>影响力。</w:t>
      </w:r>
    </w:p>
    <w:p w14:paraId="64A2AD12">
      <w:pPr>
        <w:spacing w:before="44" w:line="353" w:lineRule="auto"/>
        <w:ind w:left="39" w:right="15" w:firstLine="565"/>
        <w:rPr>
          <w:rFonts w:ascii="仿宋" w:hAnsi="仿宋" w:eastAsia="仿宋" w:cs="仿宋"/>
          <w:sz w:val="28"/>
          <w:szCs w:val="28"/>
        </w:rPr>
      </w:pPr>
      <w:r>
        <w:rPr>
          <w:rFonts w:ascii="仿宋" w:hAnsi="仿宋" w:eastAsia="仿宋" w:cs="仿宋"/>
          <w:b/>
          <w:bCs/>
          <w:sz w:val="28"/>
          <w:szCs w:val="28"/>
        </w:rPr>
        <w:t>第二十九条</w:t>
      </w:r>
      <w:r>
        <w:rPr>
          <w:rFonts w:ascii="仿宋" w:hAnsi="仿宋" w:eastAsia="仿宋" w:cs="仿宋"/>
          <w:sz w:val="28"/>
          <w:szCs w:val="28"/>
        </w:rPr>
        <w:t xml:space="preserve"> 工作思路明确，有年度工作计划和</w:t>
      </w:r>
      <w:r>
        <w:rPr>
          <w:rFonts w:ascii="仿宋" w:hAnsi="仿宋" w:eastAsia="仿宋" w:cs="仿宋"/>
          <w:spacing w:val="-1"/>
          <w:sz w:val="28"/>
          <w:szCs w:val="28"/>
        </w:rPr>
        <w:t>工作总结，认真</w:t>
      </w:r>
      <w:r>
        <w:rPr>
          <w:rFonts w:ascii="仿宋" w:hAnsi="仿宋" w:eastAsia="仿宋" w:cs="仿宋"/>
          <w:sz w:val="28"/>
          <w:szCs w:val="28"/>
        </w:rPr>
        <w:t xml:space="preserve"> </w:t>
      </w:r>
      <w:r>
        <w:rPr>
          <w:rFonts w:ascii="仿宋" w:hAnsi="仿宋" w:eastAsia="仿宋" w:cs="仿宋"/>
          <w:spacing w:val="-2"/>
          <w:sz w:val="28"/>
          <w:szCs w:val="28"/>
        </w:rPr>
        <w:t>完成上级党组织安排的各项工作任务。</w:t>
      </w:r>
    </w:p>
    <w:p w14:paraId="73788999">
      <w:pPr>
        <w:spacing w:before="50" w:line="353" w:lineRule="auto"/>
        <w:ind w:left="32" w:right="61" w:firstLine="572"/>
        <w:rPr>
          <w:rFonts w:ascii="仿宋" w:hAnsi="仿宋" w:eastAsia="仿宋" w:cs="仿宋"/>
          <w:sz w:val="28"/>
          <w:szCs w:val="28"/>
        </w:rPr>
      </w:pPr>
      <w:r>
        <w:rPr>
          <w:rFonts w:ascii="仿宋" w:hAnsi="仿宋" w:eastAsia="仿宋" w:cs="仿宋"/>
          <w:b/>
          <w:bCs/>
          <w:spacing w:val="-2"/>
          <w:sz w:val="28"/>
          <w:szCs w:val="28"/>
        </w:rPr>
        <w:t>第三十条</w:t>
      </w:r>
      <w:r>
        <w:rPr>
          <w:rFonts w:ascii="仿宋" w:hAnsi="仿宋" w:eastAsia="仿宋" w:cs="仿宋"/>
          <w:spacing w:val="-2"/>
          <w:sz w:val="28"/>
          <w:szCs w:val="28"/>
        </w:rPr>
        <w:t xml:space="preserve"> 充分发挥党组织和党员作用，落实党员“一方隶属、</w:t>
      </w:r>
      <w:r>
        <w:rPr>
          <w:rFonts w:ascii="仿宋" w:hAnsi="仿宋" w:eastAsia="仿宋" w:cs="仿宋"/>
          <w:spacing w:val="7"/>
          <w:sz w:val="28"/>
          <w:szCs w:val="28"/>
        </w:rPr>
        <w:t xml:space="preserve"> </w:t>
      </w:r>
      <w:r>
        <w:rPr>
          <w:rFonts w:ascii="仿宋" w:hAnsi="仿宋" w:eastAsia="仿宋" w:cs="仿宋"/>
          <w:spacing w:val="-3"/>
          <w:sz w:val="28"/>
          <w:szCs w:val="28"/>
        </w:rPr>
        <w:t>双重管理、多方活动和全程作用</w:t>
      </w:r>
      <w:r>
        <w:rPr>
          <w:rFonts w:ascii="仿宋" w:hAnsi="仿宋" w:eastAsia="仿宋" w:cs="仿宋"/>
          <w:spacing w:val="36"/>
          <w:sz w:val="28"/>
          <w:szCs w:val="28"/>
        </w:rPr>
        <w:t xml:space="preserve"> </w:t>
      </w:r>
      <w:r>
        <w:rPr>
          <w:rFonts w:ascii="仿宋" w:hAnsi="仿宋" w:eastAsia="仿宋" w:cs="仿宋"/>
          <w:spacing w:val="-3"/>
          <w:sz w:val="28"/>
          <w:szCs w:val="28"/>
        </w:rPr>
        <w:t>”要求。</w:t>
      </w:r>
    </w:p>
    <w:p w14:paraId="445E2EAE">
      <w:pPr>
        <w:spacing w:before="51" w:line="358" w:lineRule="auto"/>
        <w:ind w:left="47" w:right="15" w:firstLine="556"/>
        <w:rPr>
          <w:rFonts w:ascii="仿宋" w:hAnsi="仿宋" w:eastAsia="仿宋" w:cs="仿宋"/>
          <w:sz w:val="28"/>
          <w:szCs w:val="28"/>
        </w:rPr>
      </w:pPr>
      <w:r>
        <w:rPr>
          <w:rFonts w:ascii="仿宋" w:hAnsi="仿宋" w:eastAsia="仿宋" w:cs="仿宋"/>
          <w:b/>
          <w:bCs/>
          <w:sz w:val="28"/>
          <w:szCs w:val="28"/>
        </w:rPr>
        <w:t>第三十一条</w:t>
      </w:r>
      <w:r>
        <w:rPr>
          <w:rFonts w:ascii="仿宋" w:hAnsi="仿宋" w:eastAsia="仿宋" w:cs="仿宋"/>
          <w:sz w:val="28"/>
          <w:szCs w:val="28"/>
        </w:rPr>
        <w:t xml:space="preserve"> 积极开展示范创建、党员示范岗、</w:t>
      </w:r>
      <w:r>
        <w:rPr>
          <w:rFonts w:ascii="仿宋" w:hAnsi="仿宋" w:eastAsia="仿宋" w:cs="仿宋"/>
          <w:spacing w:val="-1"/>
          <w:sz w:val="28"/>
          <w:szCs w:val="28"/>
        </w:rPr>
        <w:t>党员责任区、党</w:t>
      </w:r>
      <w:r>
        <w:rPr>
          <w:rFonts w:ascii="仿宋" w:hAnsi="仿宋" w:eastAsia="仿宋" w:cs="仿宋"/>
          <w:sz w:val="28"/>
          <w:szCs w:val="28"/>
        </w:rPr>
        <w:t xml:space="preserve"> </w:t>
      </w:r>
      <w:r>
        <w:rPr>
          <w:rFonts w:ascii="仿宋" w:hAnsi="仿宋" w:eastAsia="仿宋" w:cs="仿宋"/>
          <w:spacing w:val="-5"/>
          <w:sz w:val="28"/>
          <w:szCs w:val="28"/>
        </w:rPr>
        <w:t>员先锋岗、党员志愿服务以及党员公开承诺践诺活动，充分发挥示范</w:t>
      </w:r>
      <w:r>
        <w:rPr>
          <w:rFonts w:ascii="仿宋" w:hAnsi="仿宋" w:eastAsia="仿宋" w:cs="仿宋"/>
          <w:spacing w:val="15"/>
          <w:sz w:val="28"/>
          <w:szCs w:val="28"/>
        </w:rPr>
        <w:t xml:space="preserve"> </w:t>
      </w:r>
      <w:r>
        <w:rPr>
          <w:rFonts w:ascii="仿宋" w:hAnsi="仿宋" w:eastAsia="仿宋" w:cs="仿宋"/>
          <w:spacing w:val="-7"/>
          <w:sz w:val="28"/>
          <w:szCs w:val="28"/>
        </w:rPr>
        <w:t>带动作用。</w:t>
      </w:r>
    </w:p>
    <w:p w14:paraId="775B2BBE">
      <w:pPr>
        <w:spacing w:before="49" w:line="355" w:lineRule="auto"/>
        <w:ind w:left="38" w:right="15" w:firstLine="566"/>
        <w:rPr>
          <w:rFonts w:ascii="仿宋" w:hAnsi="仿宋" w:eastAsia="仿宋" w:cs="仿宋"/>
          <w:sz w:val="28"/>
          <w:szCs w:val="28"/>
        </w:rPr>
      </w:pPr>
      <w:r>
        <w:rPr>
          <w:rFonts w:ascii="仿宋" w:hAnsi="仿宋" w:eastAsia="仿宋" w:cs="仿宋"/>
          <w:b/>
          <w:bCs/>
          <w:sz w:val="28"/>
          <w:szCs w:val="28"/>
        </w:rPr>
        <w:t>第三十二条</w:t>
      </w:r>
      <w:r>
        <w:rPr>
          <w:rFonts w:ascii="仿宋" w:hAnsi="仿宋" w:eastAsia="仿宋" w:cs="仿宋"/>
          <w:sz w:val="28"/>
          <w:szCs w:val="28"/>
        </w:rPr>
        <w:t xml:space="preserve"> 党支部开展的有关活动可邀请非党</w:t>
      </w:r>
      <w:r>
        <w:rPr>
          <w:rFonts w:ascii="仿宋" w:hAnsi="仿宋" w:eastAsia="仿宋" w:cs="仿宋"/>
          <w:spacing w:val="-1"/>
          <w:sz w:val="28"/>
          <w:szCs w:val="28"/>
        </w:rPr>
        <w:t>员社会组织负责</w:t>
      </w:r>
      <w:r>
        <w:rPr>
          <w:rFonts w:ascii="仿宋" w:hAnsi="仿宋" w:eastAsia="仿宋" w:cs="仿宋"/>
          <w:sz w:val="28"/>
          <w:szCs w:val="28"/>
        </w:rPr>
        <w:t xml:space="preserve"> </w:t>
      </w:r>
      <w:r>
        <w:rPr>
          <w:rFonts w:ascii="仿宋" w:hAnsi="仿宋" w:eastAsia="仿宋" w:cs="仿宋"/>
          <w:spacing w:val="-6"/>
          <w:sz w:val="28"/>
          <w:szCs w:val="28"/>
        </w:rPr>
        <w:t>人参加。</w:t>
      </w:r>
    </w:p>
    <w:p w14:paraId="12314925">
      <w:pPr>
        <w:spacing w:before="43" w:line="353" w:lineRule="auto"/>
        <w:ind w:left="33" w:right="15" w:firstLine="571"/>
        <w:rPr>
          <w:rFonts w:ascii="仿宋" w:hAnsi="仿宋" w:eastAsia="仿宋" w:cs="仿宋"/>
          <w:sz w:val="28"/>
          <w:szCs w:val="28"/>
        </w:rPr>
      </w:pPr>
      <w:r>
        <w:rPr>
          <w:rFonts w:ascii="仿宋" w:hAnsi="仿宋" w:eastAsia="仿宋" w:cs="仿宋"/>
          <w:b/>
          <w:bCs/>
          <w:sz w:val="28"/>
          <w:szCs w:val="28"/>
        </w:rPr>
        <w:t>第三十三条</w:t>
      </w:r>
      <w:r>
        <w:rPr>
          <w:rFonts w:ascii="仿宋" w:hAnsi="仿宋" w:eastAsia="仿宋" w:cs="仿宋"/>
          <w:sz w:val="28"/>
          <w:szCs w:val="28"/>
        </w:rPr>
        <w:t xml:space="preserve"> 党建工作经费应纳入基金会管理费</w:t>
      </w:r>
      <w:r>
        <w:rPr>
          <w:rFonts w:ascii="仿宋" w:hAnsi="仿宋" w:eastAsia="仿宋" w:cs="仿宋"/>
          <w:spacing w:val="-1"/>
          <w:sz w:val="28"/>
          <w:szCs w:val="28"/>
        </w:rPr>
        <w:t>用列支，保障党</w:t>
      </w:r>
      <w:r>
        <w:rPr>
          <w:rFonts w:ascii="仿宋" w:hAnsi="仿宋" w:eastAsia="仿宋" w:cs="仿宋"/>
          <w:sz w:val="28"/>
          <w:szCs w:val="28"/>
        </w:rPr>
        <w:t xml:space="preserve"> </w:t>
      </w:r>
      <w:r>
        <w:rPr>
          <w:rFonts w:ascii="仿宋" w:hAnsi="仿宋" w:eastAsia="仿宋" w:cs="仿宋"/>
          <w:spacing w:val="-2"/>
          <w:sz w:val="28"/>
          <w:szCs w:val="28"/>
        </w:rPr>
        <w:t>建活动经费并确保合理使用。</w:t>
      </w:r>
    </w:p>
    <w:p w14:paraId="1BF3C447">
      <w:pPr>
        <w:pStyle w:val="2"/>
        <w:spacing w:before="51" w:line="222" w:lineRule="auto"/>
        <w:ind w:left="3265"/>
        <w:rPr>
          <w:rFonts w:ascii="黑体" w:hAnsi="黑体" w:eastAsia="黑体" w:cs="黑体"/>
        </w:rPr>
      </w:pPr>
      <w:r>
        <w:rPr>
          <w:spacing w:val="-7"/>
        </w:rPr>
        <w:t>第十三章</w:t>
      </w:r>
      <w:r>
        <w:rPr>
          <w:spacing w:val="25"/>
        </w:rPr>
        <w:t xml:space="preserve"> </w:t>
      </w:r>
      <w:r>
        <w:rPr>
          <w:rFonts w:ascii="黑体" w:hAnsi="黑体" w:eastAsia="黑体" w:cs="黑体"/>
          <w:b/>
          <w:bCs/>
          <w:spacing w:val="-7"/>
        </w:rPr>
        <w:t>附则</w:t>
      </w:r>
    </w:p>
    <w:p w14:paraId="46ED7738">
      <w:pPr>
        <w:spacing w:line="222" w:lineRule="exact"/>
      </w:pPr>
    </w:p>
    <w:tbl>
      <w:tblPr>
        <w:tblStyle w:val="6"/>
        <w:tblW w:w="8275" w:type="dxa"/>
        <w:tblInd w:w="3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20"/>
        <w:gridCol w:w="6255"/>
      </w:tblGrid>
      <w:tr w14:paraId="70E423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5" w:hRule="atLeast"/>
        </w:trPr>
        <w:tc>
          <w:tcPr>
            <w:tcW w:w="2020" w:type="dxa"/>
            <w:vAlign w:val="top"/>
          </w:tcPr>
          <w:p w14:paraId="2C97F925">
            <w:pPr>
              <w:pStyle w:val="7"/>
              <w:spacing w:before="2" w:line="223" w:lineRule="auto"/>
              <w:ind w:left="565"/>
            </w:pPr>
            <w:r>
              <w:rPr>
                <w:b/>
                <w:bCs/>
                <w:spacing w:val="-9"/>
              </w:rPr>
              <w:t>第三十四条</w:t>
            </w:r>
          </w:p>
        </w:tc>
        <w:tc>
          <w:tcPr>
            <w:tcW w:w="6255" w:type="dxa"/>
            <w:vAlign w:val="top"/>
          </w:tcPr>
          <w:p w14:paraId="48CA92EB">
            <w:pPr>
              <w:pStyle w:val="7"/>
              <w:spacing w:line="222" w:lineRule="auto"/>
              <w:jc w:val="right"/>
            </w:pPr>
            <w:r>
              <w:t>本制度未尽事宜或与有关规定不一致的，按有关规</w:t>
            </w:r>
          </w:p>
        </w:tc>
      </w:tr>
      <w:tr w14:paraId="297937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2020" w:type="dxa"/>
            <w:vAlign w:val="top"/>
          </w:tcPr>
          <w:p w14:paraId="0421B904">
            <w:pPr>
              <w:pStyle w:val="7"/>
              <w:spacing w:before="135" w:line="222" w:lineRule="auto"/>
            </w:pPr>
            <w:r>
              <w:rPr>
                <w:spacing w:val="-6"/>
              </w:rPr>
              <w:t>定执行。</w:t>
            </w:r>
          </w:p>
        </w:tc>
        <w:tc>
          <w:tcPr>
            <w:tcW w:w="6255" w:type="dxa"/>
            <w:vAlign w:val="top"/>
          </w:tcPr>
          <w:p w14:paraId="2DFCF32E">
            <w:pPr>
              <w:rPr>
                <w:rFonts w:ascii="Arial"/>
                <w:sz w:val="21"/>
              </w:rPr>
            </w:pPr>
          </w:p>
        </w:tc>
      </w:tr>
      <w:tr w14:paraId="4B217E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2020" w:type="dxa"/>
            <w:vAlign w:val="top"/>
          </w:tcPr>
          <w:p w14:paraId="182C60CF">
            <w:pPr>
              <w:pStyle w:val="7"/>
              <w:spacing w:before="136" w:line="223" w:lineRule="auto"/>
              <w:ind w:left="565"/>
            </w:pPr>
            <w:r>
              <w:rPr>
                <w:b/>
                <w:bCs/>
                <w:spacing w:val="-9"/>
              </w:rPr>
              <w:t>第三十五条</w:t>
            </w:r>
          </w:p>
        </w:tc>
        <w:tc>
          <w:tcPr>
            <w:tcW w:w="6255" w:type="dxa"/>
            <w:vAlign w:val="top"/>
          </w:tcPr>
          <w:p w14:paraId="624D59F7">
            <w:pPr>
              <w:pStyle w:val="7"/>
              <w:spacing w:before="136" w:line="222" w:lineRule="auto"/>
              <w:ind w:left="80"/>
            </w:pPr>
            <w:r>
              <w:rPr>
                <w:spacing w:val="-1"/>
              </w:rPr>
              <w:t>本制度由青海湖生态保护基金会党支部负责解释。</w:t>
            </w:r>
          </w:p>
        </w:tc>
      </w:tr>
      <w:tr w14:paraId="2401EC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6" w:hRule="atLeast"/>
        </w:trPr>
        <w:tc>
          <w:tcPr>
            <w:tcW w:w="2020" w:type="dxa"/>
            <w:vAlign w:val="top"/>
          </w:tcPr>
          <w:p w14:paraId="75746EC6">
            <w:pPr>
              <w:pStyle w:val="7"/>
              <w:spacing w:before="139" w:line="182" w:lineRule="auto"/>
              <w:ind w:left="565"/>
            </w:pPr>
            <w:r>
              <w:rPr>
                <w:b/>
                <w:bCs/>
                <w:spacing w:val="-9"/>
              </w:rPr>
              <w:t>第三十六条</w:t>
            </w:r>
          </w:p>
        </w:tc>
        <w:tc>
          <w:tcPr>
            <w:tcW w:w="6255" w:type="dxa"/>
            <w:vAlign w:val="top"/>
          </w:tcPr>
          <w:p w14:paraId="140EB75B">
            <w:pPr>
              <w:pStyle w:val="7"/>
              <w:spacing w:before="136" w:line="184" w:lineRule="auto"/>
              <w:ind w:left="80"/>
            </w:pPr>
            <w:r>
              <w:rPr>
                <w:spacing w:val="-1"/>
              </w:rPr>
              <w:t>本制度自基金会党支部全体会议通过后执行。</w:t>
            </w:r>
          </w:p>
        </w:tc>
      </w:tr>
    </w:tbl>
    <w:p w14:paraId="01DCEF80">
      <w:pPr>
        <w:rPr>
          <w:rFonts w:ascii="Arial"/>
          <w:sz w:val="21"/>
        </w:rPr>
      </w:pPr>
    </w:p>
    <w:p w14:paraId="4E603117">
      <w:pPr>
        <w:rPr>
          <w:rFonts w:ascii="Arial" w:hAnsi="Arial" w:eastAsia="Arial" w:cs="Arial"/>
          <w:sz w:val="21"/>
          <w:szCs w:val="21"/>
        </w:rPr>
        <w:sectPr>
          <w:pgSz w:w="11900" w:h="16841"/>
          <w:pgMar w:top="400" w:right="1785" w:bottom="913" w:left="1785" w:header="0" w:footer="850" w:gutter="0"/>
          <w:pgNumType w:fmt="decimal"/>
          <w:cols w:space="720" w:num="1"/>
        </w:sectPr>
      </w:pPr>
    </w:p>
    <w:p w14:paraId="54516B76">
      <w:pPr>
        <w:spacing w:line="258" w:lineRule="auto"/>
        <w:rPr>
          <w:rFonts w:ascii="Arial"/>
          <w:sz w:val="21"/>
        </w:rPr>
      </w:pPr>
    </w:p>
    <w:p w14:paraId="0E3E9D02">
      <w:pPr>
        <w:spacing w:line="258" w:lineRule="auto"/>
        <w:rPr>
          <w:rFonts w:ascii="Arial"/>
          <w:sz w:val="21"/>
        </w:rPr>
      </w:pPr>
    </w:p>
    <w:p w14:paraId="6D06201C">
      <w:pPr>
        <w:spacing w:line="258" w:lineRule="auto"/>
        <w:rPr>
          <w:rFonts w:ascii="Arial"/>
          <w:sz w:val="21"/>
        </w:rPr>
      </w:pPr>
    </w:p>
    <w:p w14:paraId="2E9A28CB">
      <w:pPr>
        <w:spacing w:line="259" w:lineRule="auto"/>
        <w:rPr>
          <w:rFonts w:ascii="Arial"/>
          <w:sz w:val="21"/>
        </w:rPr>
      </w:pPr>
    </w:p>
    <w:p w14:paraId="6058E38D">
      <w:pPr>
        <w:spacing w:before="120" w:line="219" w:lineRule="auto"/>
        <w:ind w:left="775"/>
        <w:rPr>
          <w:rFonts w:ascii="方正舒体" w:hAnsi="方正舒体" w:eastAsia="方正舒体" w:cs="方正舒体"/>
          <w:sz w:val="35"/>
          <w:szCs w:val="35"/>
        </w:rPr>
      </w:pPr>
      <w:bookmarkStart w:id="17" w:name="bookmark21"/>
      <w:bookmarkEnd w:id="17"/>
      <w:r>
        <w:rPr>
          <w:rFonts w:ascii="方正舒体" w:hAnsi="方正舒体" w:eastAsia="方正舒体" w:cs="方正舒体"/>
          <w:spacing w:val="8"/>
          <w:sz w:val="35"/>
          <w:szCs w:val="35"/>
        </w:rPr>
        <w:t>青海省青海湖生态保护基金会财务管理制度</w:t>
      </w:r>
    </w:p>
    <w:p w14:paraId="12C6CFFA">
      <w:pPr>
        <w:spacing w:before="212" w:line="222" w:lineRule="auto"/>
        <w:ind w:left="3267"/>
        <w:rPr>
          <w:rFonts w:ascii="黑体" w:hAnsi="黑体" w:eastAsia="黑体" w:cs="黑体"/>
          <w:sz w:val="28"/>
          <w:szCs w:val="28"/>
        </w:rPr>
      </w:pPr>
      <w:r>
        <w:rPr>
          <w:rFonts w:ascii="黑体" w:hAnsi="黑体" w:eastAsia="黑体" w:cs="黑体"/>
          <w:b/>
          <w:bCs/>
          <w:spacing w:val="-4"/>
          <w:sz w:val="28"/>
          <w:szCs w:val="28"/>
        </w:rPr>
        <w:t>第十四章</w:t>
      </w:r>
      <w:r>
        <w:rPr>
          <w:rFonts w:ascii="黑体" w:hAnsi="黑体" w:eastAsia="黑体" w:cs="黑体"/>
          <w:spacing w:val="-4"/>
          <w:sz w:val="28"/>
          <w:szCs w:val="28"/>
        </w:rPr>
        <w:t xml:space="preserve"> </w:t>
      </w:r>
      <w:r>
        <w:rPr>
          <w:rFonts w:ascii="黑体" w:hAnsi="黑体" w:eastAsia="黑体" w:cs="黑体"/>
          <w:b/>
          <w:bCs/>
          <w:spacing w:val="-4"/>
          <w:sz w:val="28"/>
          <w:szCs w:val="28"/>
        </w:rPr>
        <w:t>总则</w:t>
      </w:r>
    </w:p>
    <w:p w14:paraId="0232D680">
      <w:pPr>
        <w:spacing w:before="219" w:line="362" w:lineRule="auto"/>
        <w:ind w:left="32" w:right="80" w:firstLine="571"/>
        <w:rPr>
          <w:rFonts w:ascii="仿宋" w:hAnsi="仿宋" w:eastAsia="仿宋" w:cs="仿宋"/>
          <w:sz w:val="28"/>
          <w:szCs w:val="28"/>
        </w:rPr>
      </w:pPr>
      <w:r>
        <w:rPr>
          <w:rFonts w:ascii="仿宋" w:hAnsi="仿宋" w:eastAsia="仿宋" w:cs="仿宋"/>
          <w:b/>
          <w:bCs/>
          <w:sz w:val="28"/>
          <w:szCs w:val="28"/>
        </w:rPr>
        <w:t>第三十七条</w:t>
      </w:r>
      <w:r>
        <w:rPr>
          <w:rFonts w:ascii="仿宋" w:hAnsi="仿宋" w:eastAsia="仿宋" w:cs="仿宋"/>
          <w:sz w:val="28"/>
          <w:szCs w:val="28"/>
        </w:rPr>
        <w:t xml:space="preserve"> 为加强本基金会的财务管理，依法进行会计核算，</w:t>
      </w:r>
      <w:r>
        <w:rPr>
          <w:rFonts w:ascii="仿宋" w:hAnsi="仿宋" w:eastAsia="仿宋" w:cs="仿宋"/>
          <w:spacing w:val="1"/>
          <w:sz w:val="28"/>
          <w:szCs w:val="28"/>
        </w:rPr>
        <w:t xml:space="preserve"> </w:t>
      </w:r>
      <w:r>
        <w:rPr>
          <w:rFonts w:ascii="仿宋" w:hAnsi="仿宋" w:eastAsia="仿宋" w:cs="仿宋"/>
          <w:spacing w:val="-4"/>
          <w:sz w:val="28"/>
          <w:szCs w:val="28"/>
        </w:rPr>
        <w:t>按照合法、安全、有效的原则实现基金的保值、增值，根据《中华人</w:t>
      </w:r>
      <w:r>
        <w:rPr>
          <w:rFonts w:ascii="仿宋" w:hAnsi="仿宋" w:eastAsia="仿宋" w:cs="仿宋"/>
          <w:spacing w:val="7"/>
          <w:sz w:val="28"/>
          <w:szCs w:val="28"/>
        </w:rPr>
        <w:t xml:space="preserve"> </w:t>
      </w:r>
      <w:r>
        <w:rPr>
          <w:rFonts w:ascii="仿宋" w:hAnsi="仿宋" w:eastAsia="仿宋" w:cs="仿宋"/>
          <w:spacing w:val="-4"/>
          <w:sz w:val="28"/>
          <w:szCs w:val="28"/>
        </w:rPr>
        <w:t>民共和国会计法》、《基金会管理条例》、《民间非营利组织会计制</w:t>
      </w:r>
      <w:r>
        <w:rPr>
          <w:rFonts w:ascii="仿宋" w:hAnsi="仿宋" w:eastAsia="仿宋" w:cs="仿宋"/>
          <w:spacing w:val="7"/>
          <w:sz w:val="28"/>
          <w:szCs w:val="28"/>
        </w:rPr>
        <w:t xml:space="preserve"> </w:t>
      </w:r>
      <w:r>
        <w:rPr>
          <w:rFonts w:ascii="仿宋" w:hAnsi="仿宋" w:eastAsia="仿宋" w:cs="仿宋"/>
          <w:spacing w:val="-2"/>
          <w:sz w:val="28"/>
          <w:szCs w:val="28"/>
        </w:rPr>
        <w:t>度》和本基金会章程，制定本办法。</w:t>
      </w:r>
    </w:p>
    <w:p w14:paraId="1E94973C">
      <w:pPr>
        <w:spacing w:before="47" w:line="364" w:lineRule="auto"/>
        <w:ind w:left="31" w:firstLine="572"/>
        <w:rPr>
          <w:rFonts w:ascii="仿宋" w:hAnsi="仿宋" w:eastAsia="仿宋" w:cs="仿宋"/>
          <w:sz w:val="28"/>
          <w:szCs w:val="28"/>
        </w:rPr>
      </w:pPr>
      <w:r>
        <w:rPr>
          <w:rFonts w:ascii="仿宋" w:hAnsi="仿宋" w:eastAsia="仿宋" w:cs="仿宋"/>
          <w:b/>
          <w:bCs/>
          <w:sz w:val="28"/>
          <w:szCs w:val="28"/>
        </w:rPr>
        <w:t>第三十八条</w:t>
      </w:r>
      <w:r>
        <w:rPr>
          <w:rFonts w:ascii="仿宋" w:hAnsi="仿宋" w:eastAsia="仿宋" w:cs="仿宋"/>
          <w:sz w:val="28"/>
          <w:szCs w:val="28"/>
        </w:rPr>
        <w:t xml:space="preserve"> 本基金会财务管理的主要任务是通过资金的管理和 </w:t>
      </w:r>
      <w:r>
        <w:rPr>
          <w:rFonts w:ascii="仿宋" w:hAnsi="仿宋" w:eastAsia="仿宋" w:cs="仿宋"/>
          <w:spacing w:val="-10"/>
          <w:sz w:val="28"/>
          <w:szCs w:val="28"/>
        </w:rPr>
        <w:t>运用，对基金会的财务活动进行综合管理。具体包括：管理各项收</w:t>
      </w:r>
      <w:r>
        <w:rPr>
          <w:rFonts w:ascii="仿宋" w:hAnsi="仿宋" w:eastAsia="仿宋" w:cs="仿宋"/>
          <w:spacing w:val="-11"/>
          <w:sz w:val="28"/>
          <w:szCs w:val="28"/>
        </w:rPr>
        <w:t>入，</w:t>
      </w:r>
      <w:r>
        <w:rPr>
          <w:rFonts w:ascii="仿宋" w:hAnsi="仿宋" w:eastAsia="仿宋" w:cs="仿宋"/>
          <w:sz w:val="28"/>
          <w:szCs w:val="28"/>
        </w:rPr>
        <w:t xml:space="preserve"> </w:t>
      </w:r>
      <w:r>
        <w:rPr>
          <w:rFonts w:ascii="仿宋" w:hAnsi="仿宋" w:eastAsia="仿宋" w:cs="仿宋"/>
          <w:spacing w:val="-4"/>
          <w:sz w:val="28"/>
          <w:szCs w:val="28"/>
        </w:rPr>
        <w:t>降低成本费用，合理安排和使用各项资金；加强财务核算，提高资金</w:t>
      </w:r>
      <w:r>
        <w:rPr>
          <w:rFonts w:ascii="仿宋" w:hAnsi="仿宋" w:eastAsia="仿宋" w:cs="仿宋"/>
          <w:spacing w:val="7"/>
          <w:sz w:val="28"/>
          <w:szCs w:val="28"/>
        </w:rPr>
        <w:t xml:space="preserve"> </w:t>
      </w:r>
      <w:r>
        <w:rPr>
          <w:rFonts w:ascii="仿宋" w:hAnsi="仿宋" w:eastAsia="仿宋" w:cs="仿宋"/>
          <w:spacing w:val="-4"/>
          <w:sz w:val="28"/>
          <w:szCs w:val="28"/>
        </w:rPr>
        <w:t>使用效益；建立健全财务管理制度和规程，加强财务监督、检查；维</w:t>
      </w:r>
      <w:r>
        <w:rPr>
          <w:rFonts w:ascii="仿宋" w:hAnsi="仿宋" w:eastAsia="仿宋" w:cs="仿宋"/>
          <w:spacing w:val="7"/>
          <w:sz w:val="28"/>
          <w:szCs w:val="28"/>
        </w:rPr>
        <w:t xml:space="preserve"> </w:t>
      </w:r>
      <w:r>
        <w:rPr>
          <w:rFonts w:ascii="仿宋" w:hAnsi="仿宋" w:eastAsia="仿宋" w:cs="仿宋"/>
          <w:spacing w:val="-4"/>
          <w:sz w:val="28"/>
          <w:szCs w:val="28"/>
        </w:rPr>
        <w:t>护基金会财产完好，充分发挥财产效益；开展财务分析，参与基金会</w:t>
      </w:r>
      <w:r>
        <w:rPr>
          <w:rFonts w:ascii="仿宋" w:hAnsi="仿宋" w:eastAsia="仿宋" w:cs="仿宋"/>
          <w:spacing w:val="7"/>
          <w:sz w:val="28"/>
          <w:szCs w:val="28"/>
        </w:rPr>
        <w:t xml:space="preserve"> </w:t>
      </w:r>
      <w:r>
        <w:rPr>
          <w:rFonts w:ascii="仿宋" w:hAnsi="仿宋" w:eastAsia="仿宋" w:cs="仿宋"/>
          <w:spacing w:val="-1"/>
          <w:sz w:val="28"/>
          <w:szCs w:val="28"/>
        </w:rPr>
        <w:t>财务决策，规范财务信息披露，促进基金会建设和事业发展。</w:t>
      </w:r>
    </w:p>
    <w:p w14:paraId="5318AC21">
      <w:pPr>
        <w:spacing w:before="49" w:line="362" w:lineRule="auto"/>
        <w:ind w:left="32" w:right="80" w:firstLine="571"/>
        <w:rPr>
          <w:rFonts w:ascii="仿宋" w:hAnsi="仿宋" w:eastAsia="仿宋" w:cs="仿宋"/>
          <w:sz w:val="28"/>
          <w:szCs w:val="28"/>
        </w:rPr>
      </w:pPr>
      <w:r>
        <w:rPr>
          <w:rFonts w:ascii="仿宋" w:hAnsi="仿宋" w:eastAsia="仿宋" w:cs="仿宋"/>
          <w:b/>
          <w:bCs/>
          <w:sz w:val="28"/>
          <w:szCs w:val="28"/>
        </w:rPr>
        <w:t>第三十九条</w:t>
      </w:r>
      <w:r>
        <w:rPr>
          <w:rFonts w:ascii="仿宋" w:hAnsi="仿宋" w:eastAsia="仿宋" w:cs="仿宋"/>
          <w:sz w:val="28"/>
          <w:szCs w:val="28"/>
        </w:rPr>
        <w:t xml:space="preserve"> 本基金会财务管理的内容包括：财务管理体制、预 </w:t>
      </w:r>
      <w:r>
        <w:rPr>
          <w:rFonts w:ascii="仿宋" w:hAnsi="仿宋" w:eastAsia="仿宋" w:cs="仿宋"/>
          <w:spacing w:val="-4"/>
          <w:sz w:val="28"/>
          <w:szCs w:val="28"/>
        </w:rPr>
        <w:t>算管理、收入管理、支出管理、票据管理、成本（费用）管理、物资</w:t>
      </w:r>
      <w:r>
        <w:rPr>
          <w:rFonts w:ascii="仿宋" w:hAnsi="仿宋" w:eastAsia="仿宋" w:cs="仿宋"/>
          <w:spacing w:val="7"/>
          <w:sz w:val="28"/>
          <w:szCs w:val="28"/>
        </w:rPr>
        <w:t xml:space="preserve"> </w:t>
      </w:r>
      <w:r>
        <w:rPr>
          <w:rFonts w:ascii="仿宋" w:hAnsi="仿宋" w:eastAsia="仿宋" w:cs="仿宋"/>
          <w:spacing w:val="-4"/>
          <w:sz w:val="28"/>
          <w:szCs w:val="28"/>
        </w:rPr>
        <w:t>管理、资产管理、财务分析和财务监督、财务决算和财务会计信息披</w:t>
      </w:r>
      <w:r>
        <w:rPr>
          <w:rFonts w:ascii="仿宋" w:hAnsi="仿宋" w:eastAsia="仿宋" w:cs="仿宋"/>
          <w:spacing w:val="6"/>
          <w:sz w:val="28"/>
          <w:szCs w:val="28"/>
        </w:rPr>
        <w:t xml:space="preserve"> </w:t>
      </w:r>
      <w:r>
        <w:rPr>
          <w:rFonts w:ascii="仿宋" w:hAnsi="仿宋" w:eastAsia="仿宋" w:cs="仿宋"/>
          <w:spacing w:val="-16"/>
          <w:sz w:val="28"/>
          <w:szCs w:val="28"/>
        </w:rPr>
        <w:t>露</w:t>
      </w:r>
      <w:r>
        <w:rPr>
          <w:rFonts w:ascii="仿宋" w:hAnsi="仿宋" w:eastAsia="仿宋" w:cs="仿宋"/>
          <w:spacing w:val="29"/>
          <w:sz w:val="28"/>
          <w:szCs w:val="28"/>
        </w:rPr>
        <w:t xml:space="preserve"> </w:t>
      </w:r>
      <w:r>
        <w:rPr>
          <w:rFonts w:ascii="仿宋" w:hAnsi="仿宋" w:eastAsia="仿宋" w:cs="仿宋"/>
          <w:spacing w:val="-16"/>
          <w:sz w:val="28"/>
          <w:szCs w:val="28"/>
        </w:rPr>
        <w:t>等。</w:t>
      </w:r>
    </w:p>
    <w:p w14:paraId="08156DCD">
      <w:pPr>
        <w:spacing w:before="41" w:line="353" w:lineRule="auto"/>
        <w:ind w:left="41" w:right="80" w:firstLine="562"/>
        <w:rPr>
          <w:rFonts w:ascii="仿宋" w:hAnsi="仿宋" w:eastAsia="仿宋" w:cs="仿宋"/>
          <w:sz w:val="28"/>
          <w:szCs w:val="28"/>
        </w:rPr>
      </w:pPr>
      <w:r>
        <w:rPr>
          <w:rFonts w:ascii="仿宋" w:hAnsi="仿宋" w:eastAsia="仿宋" w:cs="仿宋"/>
          <w:b/>
          <w:bCs/>
          <w:sz w:val="28"/>
          <w:szCs w:val="28"/>
        </w:rPr>
        <w:t>第四十条</w:t>
      </w:r>
      <w:r>
        <w:rPr>
          <w:rFonts w:ascii="仿宋" w:hAnsi="仿宋" w:eastAsia="仿宋" w:cs="仿宋"/>
          <w:sz w:val="28"/>
          <w:szCs w:val="28"/>
        </w:rPr>
        <w:t xml:space="preserve"> 本基金会财务管理制度由理事会授权秘书长依据基金</w:t>
      </w:r>
      <w:r>
        <w:rPr>
          <w:rFonts w:ascii="仿宋" w:hAnsi="仿宋" w:eastAsia="仿宋" w:cs="仿宋"/>
          <w:spacing w:val="3"/>
          <w:sz w:val="28"/>
          <w:szCs w:val="28"/>
        </w:rPr>
        <w:t xml:space="preserve"> </w:t>
      </w:r>
      <w:r>
        <w:rPr>
          <w:rFonts w:ascii="仿宋" w:hAnsi="仿宋" w:eastAsia="仿宋" w:cs="仿宋"/>
          <w:spacing w:val="-3"/>
          <w:sz w:val="28"/>
          <w:szCs w:val="28"/>
        </w:rPr>
        <w:t>会章程和本办法制订并实施。</w:t>
      </w:r>
    </w:p>
    <w:p w14:paraId="3595994F">
      <w:pPr>
        <w:spacing w:before="48" w:line="359" w:lineRule="auto"/>
        <w:ind w:left="32" w:right="80" w:firstLine="571"/>
        <w:jc w:val="both"/>
        <w:rPr>
          <w:rFonts w:ascii="仿宋" w:hAnsi="仿宋" w:eastAsia="仿宋" w:cs="仿宋"/>
          <w:sz w:val="28"/>
          <w:szCs w:val="28"/>
        </w:rPr>
      </w:pPr>
      <w:r>
        <w:rPr>
          <w:rFonts w:ascii="仿宋" w:hAnsi="仿宋" w:eastAsia="仿宋" w:cs="仿宋"/>
          <w:b/>
          <w:bCs/>
          <w:sz w:val="28"/>
          <w:szCs w:val="28"/>
        </w:rPr>
        <w:t>第四十一条</w:t>
      </w:r>
      <w:r>
        <w:rPr>
          <w:rFonts w:ascii="仿宋" w:hAnsi="仿宋" w:eastAsia="仿宋" w:cs="仿宋"/>
          <w:sz w:val="28"/>
          <w:szCs w:val="28"/>
        </w:rPr>
        <w:t xml:space="preserve"> 财务管理是基金会管理的重要组成部分，本基金会 </w:t>
      </w:r>
      <w:r>
        <w:rPr>
          <w:rFonts w:ascii="仿宋" w:hAnsi="仿宋" w:eastAsia="仿宋" w:cs="仿宋"/>
          <w:spacing w:val="-4"/>
          <w:sz w:val="28"/>
          <w:szCs w:val="28"/>
        </w:rPr>
        <w:t>根据章程规定，切实做好财务管理工作，规范财务核算，保证财务会</w:t>
      </w:r>
      <w:r>
        <w:rPr>
          <w:rFonts w:ascii="仿宋" w:hAnsi="仿宋" w:eastAsia="仿宋" w:cs="仿宋"/>
          <w:spacing w:val="7"/>
          <w:sz w:val="28"/>
          <w:szCs w:val="28"/>
        </w:rPr>
        <w:t xml:space="preserve"> </w:t>
      </w:r>
      <w:r>
        <w:rPr>
          <w:rFonts w:ascii="仿宋" w:hAnsi="仿宋" w:eastAsia="仿宋" w:cs="仿宋"/>
          <w:spacing w:val="-2"/>
          <w:sz w:val="28"/>
          <w:szCs w:val="28"/>
        </w:rPr>
        <w:t>计信息的真实、完整。</w:t>
      </w:r>
    </w:p>
    <w:p w14:paraId="2EFCE99B">
      <w:pPr>
        <w:spacing w:before="50" w:line="352" w:lineRule="auto"/>
        <w:ind w:left="36" w:right="80" w:firstLine="567"/>
        <w:rPr>
          <w:rFonts w:ascii="仿宋" w:hAnsi="仿宋" w:eastAsia="仿宋" w:cs="仿宋"/>
          <w:sz w:val="28"/>
          <w:szCs w:val="28"/>
        </w:rPr>
      </w:pPr>
      <w:r>
        <w:rPr>
          <w:rFonts w:ascii="仿宋" w:hAnsi="仿宋" w:eastAsia="仿宋" w:cs="仿宋"/>
          <w:b/>
          <w:bCs/>
          <w:sz w:val="28"/>
          <w:szCs w:val="28"/>
        </w:rPr>
        <w:t>第四十二条</w:t>
      </w:r>
      <w:r>
        <w:rPr>
          <w:rFonts w:ascii="仿宋" w:hAnsi="仿宋" w:eastAsia="仿宋" w:cs="仿宋"/>
          <w:sz w:val="28"/>
          <w:szCs w:val="28"/>
        </w:rPr>
        <w:t xml:space="preserve"> 本基金会的财务管理实行统一领导、归口管理的原 </w:t>
      </w:r>
      <w:r>
        <w:rPr>
          <w:rFonts w:ascii="仿宋" w:hAnsi="仿宋" w:eastAsia="仿宋" w:cs="仿宋"/>
          <w:spacing w:val="-1"/>
          <w:sz w:val="28"/>
          <w:szCs w:val="28"/>
        </w:rPr>
        <w:t>则。在理事会的领导下，一切财务收支活动归口秘书处统一管理。</w:t>
      </w:r>
    </w:p>
    <w:p w14:paraId="0DFF4CD5">
      <w:pPr>
        <w:spacing w:before="49" w:line="222" w:lineRule="auto"/>
        <w:ind w:left="2703"/>
        <w:rPr>
          <w:rFonts w:ascii="黑体" w:hAnsi="黑体" w:eastAsia="黑体" w:cs="黑体"/>
          <w:sz w:val="28"/>
          <w:szCs w:val="28"/>
        </w:rPr>
      </w:pPr>
      <w:r>
        <w:rPr>
          <w:rFonts w:ascii="黑体" w:hAnsi="黑体" w:eastAsia="黑体" w:cs="黑体"/>
          <w:b/>
          <w:bCs/>
          <w:spacing w:val="-3"/>
          <w:sz w:val="28"/>
          <w:szCs w:val="28"/>
        </w:rPr>
        <w:t>第十五章</w:t>
      </w:r>
      <w:r>
        <w:rPr>
          <w:rFonts w:ascii="黑体" w:hAnsi="黑体" w:eastAsia="黑体" w:cs="黑体"/>
          <w:spacing w:val="-3"/>
          <w:sz w:val="28"/>
          <w:szCs w:val="28"/>
        </w:rPr>
        <w:t xml:space="preserve"> </w:t>
      </w:r>
      <w:r>
        <w:rPr>
          <w:rFonts w:ascii="黑体" w:hAnsi="黑体" w:eastAsia="黑体" w:cs="黑体"/>
          <w:b/>
          <w:bCs/>
          <w:spacing w:val="-3"/>
          <w:sz w:val="28"/>
          <w:szCs w:val="28"/>
        </w:rPr>
        <w:t>财务管理体制</w:t>
      </w:r>
    </w:p>
    <w:p w14:paraId="6B664707">
      <w:pPr>
        <w:spacing w:line="222" w:lineRule="auto"/>
        <w:rPr>
          <w:rFonts w:ascii="黑体" w:hAnsi="黑体" w:eastAsia="黑体" w:cs="黑体"/>
          <w:sz w:val="28"/>
          <w:szCs w:val="28"/>
        </w:rPr>
        <w:sectPr>
          <w:pgSz w:w="11906" w:h="16839"/>
          <w:pgMar w:top="400" w:right="1718" w:bottom="913" w:left="1785" w:header="0" w:footer="794" w:gutter="0"/>
          <w:pgNumType w:fmt="decimal"/>
          <w:cols w:space="720" w:num="1"/>
        </w:sectPr>
      </w:pPr>
    </w:p>
    <w:p w14:paraId="014D146A">
      <w:pPr>
        <w:spacing w:line="287" w:lineRule="auto"/>
        <w:rPr>
          <w:rFonts w:ascii="Arial"/>
          <w:sz w:val="21"/>
        </w:rPr>
      </w:pPr>
    </w:p>
    <w:p w14:paraId="633E0A65">
      <w:pPr>
        <w:spacing w:line="287" w:lineRule="auto"/>
        <w:rPr>
          <w:rFonts w:ascii="Arial"/>
          <w:sz w:val="21"/>
        </w:rPr>
      </w:pPr>
    </w:p>
    <w:p w14:paraId="003FF9FD">
      <w:pPr>
        <w:spacing w:line="288" w:lineRule="auto"/>
        <w:rPr>
          <w:rFonts w:ascii="Arial"/>
          <w:sz w:val="21"/>
        </w:rPr>
      </w:pPr>
    </w:p>
    <w:p w14:paraId="5EEF9F30">
      <w:pPr>
        <w:spacing w:line="288" w:lineRule="auto"/>
        <w:rPr>
          <w:rFonts w:ascii="Arial"/>
          <w:sz w:val="21"/>
        </w:rPr>
      </w:pPr>
    </w:p>
    <w:p w14:paraId="698F4DE9">
      <w:pPr>
        <w:spacing w:before="91" w:line="358" w:lineRule="auto"/>
        <w:ind w:left="168" w:right="13" w:firstLine="571"/>
        <w:jc w:val="both"/>
        <w:rPr>
          <w:rFonts w:ascii="仿宋" w:hAnsi="仿宋" w:eastAsia="仿宋" w:cs="仿宋"/>
          <w:sz w:val="28"/>
          <w:szCs w:val="28"/>
        </w:rPr>
      </w:pPr>
      <w:r>
        <w:rPr>
          <w:rFonts w:ascii="仿宋" w:hAnsi="仿宋" w:eastAsia="仿宋" w:cs="仿宋"/>
          <w:b/>
          <w:bCs/>
          <w:sz w:val="28"/>
          <w:szCs w:val="28"/>
        </w:rPr>
        <w:t>第四十三条</w:t>
      </w:r>
      <w:r>
        <w:rPr>
          <w:rFonts w:ascii="仿宋" w:hAnsi="仿宋" w:eastAsia="仿宋" w:cs="仿宋"/>
          <w:sz w:val="28"/>
          <w:szCs w:val="28"/>
        </w:rPr>
        <w:t xml:space="preserve"> 理事会是本基金会的决策机构。理事会定期审议基 </w:t>
      </w:r>
      <w:r>
        <w:rPr>
          <w:rFonts w:ascii="仿宋" w:hAnsi="仿宋" w:eastAsia="仿宋" w:cs="仿宋"/>
          <w:spacing w:val="-10"/>
          <w:sz w:val="28"/>
          <w:szCs w:val="28"/>
        </w:rPr>
        <w:t>金会财务报告，并决定财务工作中的重大问题；秘书长为财务负</w:t>
      </w:r>
      <w:r>
        <w:rPr>
          <w:rFonts w:ascii="仿宋" w:hAnsi="仿宋" w:eastAsia="仿宋" w:cs="仿宋"/>
          <w:spacing w:val="-11"/>
          <w:sz w:val="28"/>
          <w:szCs w:val="28"/>
        </w:rPr>
        <w:t>责人，</w:t>
      </w:r>
      <w:r>
        <w:rPr>
          <w:rFonts w:ascii="仿宋" w:hAnsi="仿宋" w:eastAsia="仿宋" w:cs="仿宋"/>
          <w:sz w:val="28"/>
          <w:szCs w:val="28"/>
        </w:rPr>
        <w:t xml:space="preserve"> </w:t>
      </w:r>
      <w:r>
        <w:rPr>
          <w:rFonts w:ascii="仿宋" w:hAnsi="仿宋" w:eastAsia="仿宋" w:cs="仿宋"/>
          <w:spacing w:val="-2"/>
          <w:sz w:val="28"/>
          <w:szCs w:val="28"/>
        </w:rPr>
        <w:t>负责基金会的财务日常管理工作。</w:t>
      </w:r>
    </w:p>
    <w:p w14:paraId="5FC6A3FD">
      <w:pPr>
        <w:spacing w:before="50" w:line="362" w:lineRule="auto"/>
        <w:ind w:left="167" w:right="93" w:firstLine="572"/>
        <w:jc w:val="both"/>
        <w:rPr>
          <w:rFonts w:ascii="仿宋" w:hAnsi="仿宋" w:eastAsia="仿宋" w:cs="仿宋"/>
          <w:sz w:val="28"/>
          <w:szCs w:val="28"/>
        </w:rPr>
      </w:pPr>
      <w:r>
        <w:rPr>
          <w:rFonts w:ascii="仿宋" w:hAnsi="仿宋" w:eastAsia="仿宋" w:cs="仿宋"/>
          <w:b/>
          <w:bCs/>
          <w:sz w:val="28"/>
          <w:szCs w:val="28"/>
        </w:rPr>
        <w:t>第四十四条</w:t>
      </w:r>
      <w:r>
        <w:rPr>
          <w:rFonts w:ascii="仿宋" w:hAnsi="仿宋" w:eastAsia="仿宋" w:cs="仿宋"/>
          <w:sz w:val="28"/>
          <w:szCs w:val="28"/>
        </w:rPr>
        <w:t xml:space="preserve"> 本基金会配备具有专业资格的财务人员。会计不得 </w:t>
      </w:r>
      <w:r>
        <w:rPr>
          <w:rFonts w:ascii="仿宋" w:hAnsi="仿宋" w:eastAsia="仿宋" w:cs="仿宋"/>
          <w:spacing w:val="-4"/>
          <w:sz w:val="28"/>
          <w:szCs w:val="28"/>
        </w:rPr>
        <w:t>兼任出纳。财务人员必须按照《民间非营利组织会计制度》进行会计</w:t>
      </w:r>
      <w:r>
        <w:rPr>
          <w:rFonts w:ascii="仿宋" w:hAnsi="仿宋" w:eastAsia="仿宋" w:cs="仿宋"/>
          <w:spacing w:val="7"/>
          <w:sz w:val="28"/>
          <w:szCs w:val="28"/>
        </w:rPr>
        <w:t xml:space="preserve"> </w:t>
      </w:r>
      <w:r>
        <w:rPr>
          <w:rFonts w:ascii="仿宋" w:hAnsi="仿宋" w:eastAsia="仿宋" w:cs="仿宋"/>
          <w:spacing w:val="-4"/>
          <w:sz w:val="28"/>
          <w:szCs w:val="28"/>
        </w:rPr>
        <w:t>核算，实行会计监督。财务人员调动工作或离职时，必须与接管人员</w:t>
      </w:r>
      <w:r>
        <w:rPr>
          <w:rFonts w:ascii="仿宋" w:hAnsi="仿宋" w:eastAsia="仿宋" w:cs="仿宋"/>
          <w:spacing w:val="7"/>
          <w:sz w:val="28"/>
          <w:szCs w:val="28"/>
        </w:rPr>
        <w:t xml:space="preserve"> </w:t>
      </w:r>
      <w:r>
        <w:rPr>
          <w:rFonts w:ascii="仿宋" w:hAnsi="仿宋" w:eastAsia="仿宋" w:cs="仿宋"/>
          <w:spacing w:val="-3"/>
          <w:sz w:val="28"/>
          <w:szCs w:val="28"/>
        </w:rPr>
        <w:t>办理交接手续。</w:t>
      </w:r>
    </w:p>
    <w:p w14:paraId="77F071F0">
      <w:pPr>
        <w:spacing w:before="43" w:line="353" w:lineRule="auto"/>
        <w:ind w:left="173" w:right="93" w:firstLine="565"/>
        <w:rPr>
          <w:rFonts w:ascii="仿宋" w:hAnsi="仿宋" w:eastAsia="仿宋" w:cs="仿宋"/>
          <w:sz w:val="28"/>
          <w:szCs w:val="28"/>
        </w:rPr>
      </w:pPr>
      <w:r>
        <w:rPr>
          <w:rFonts w:ascii="仿宋" w:hAnsi="仿宋" w:eastAsia="仿宋" w:cs="仿宋"/>
          <w:b/>
          <w:bCs/>
          <w:sz w:val="28"/>
          <w:szCs w:val="28"/>
        </w:rPr>
        <w:t>第四十五条</w:t>
      </w:r>
      <w:r>
        <w:rPr>
          <w:rFonts w:ascii="仿宋" w:hAnsi="仿宋" w:eastAsia="仿宋" w:cs="仿宋"/>
          <w:sz w:val="28"/>
          <w:szCs w:val="28"/>
        </w:rPr>
        <w:t xml:space="preserve"> 本基金会的财务活动依法接受社会公众和业务主管 </w:t>
      </w:r>
      <w:r>
        <w:rPr>
          <w:rFonts w:ascii="仿宋" w:hAnsi="仿宋" w:eastAsia="仿宋" w:cs="仿宋"/>
          <w:spacing w:val="-2"/>
          <w:sz w:val="28"/>
          <w:szCs w:val="28"/>
        </w:rPr>
        <w:t>单位、登记管理机关的监督，每年接受财务审计。</w:t>
      </w:r>
    </w:p>
    <w:p w14:paraId="09915165">
      <w:pPr>
        <w:spacing w:before="50" w:line="353" w:lineRule="auto"/>
        <w:ind w:left="171" w:right="93" w:firstLine="567"/>
        <w:rPr>
          <w:rFonts w:ascii="仿宋" w:hAnsi="仿宋" w:eastAsia="仿宋" w:cs="仿宋"/>
          <w:sz w:val="28"/>
          <w:szCs w:val="28"/>
        </w:rPr>
      </w:pPr>
      <w:r>
        <w:rPr>
          <w:rFonts w:ascii="仿宋" w:hAnsi="仿宋" w:eastAsia="仿宋" w:cs="仿宋"/>
          <w:b/>
          <w:bCs/>
          <w:sz w:val="28"/>
          <w:szCs w:val="28"/>
        </w:rPr>
        <w:t>第四十六条</w:t>
      </w:r>
      <w:r>
        <w:rPr>
          <w:rFonts w:ascii="仿宋" w:hAnsi="仿宋" w:eastAsia="仿宋" w:cs="仿宋"/>
          <w:sz w:val="28"/>
          <w:szCs w:val="28"/>
        </w:rPr>
        <w:t xml:space="preserve"> 本基金会、理事会换届和更换法定代表人及秘书长 </w:t>
      </w:r>
      <w:r>
        <w:rPr>
          <w:rFonts w:ascii="仿宋" w:hAnsi="仿宋" w:eastAsia="仿宋" w:cs="仿宋"/>
          <w:spacing w:val="-2"/>
          <w:sz w:val="28"/>
          <w:szCs w:val="28"/>
        </w:rPr>
        <w:t>之前，应当进行财务审计。</w:t>
      </w:r>
    </w:p>
    <w:p w14:paraId="6C5D53F1">
      <w:pPr>
        <w:spacing w:before="45" w:line="360" w:lineRule="auto"/>
        <w:ind w:left="167" w:right="93" w:firstLine="572"/>
        <w:jc w:val="both"/>
        <w:rPr>
          <w:rFonts w:ascii="仿宋" w:hAnsi="仿宋" w:eastAsia="仿宋" w:cs="仿宋"/>
          <w:sz w:val="28"/>
          <w:szCs w:val="28"/>
        </w:rPr>
      </w:pPr>
      <w:r>
        <w:rPr>
          <w:rFonts w:ascii="仿宋" w:hAnsi="仿宋" w:eastAsia="仿宋" w:cs="仿宋"/>
          <w:b/>
          <w:bCs/>
          <w:sz w:val="28"/>
          <w:szCs w:val="28"/>
        </w:rPr>
        <w:t>第四十七条</w:t>
      </w:r>
      <w:r>
        <w:rPr>
          <w:rFonts w:ascii="仿宋" w:hAnsi="仿宋" w:eastAsia="仿宋" w:cs="仿宋"/>
          <w:sz w:val="28"/>
          <w:szCs w:val="28"/>
        </w:rPr>
        <w:t xml:space="preserve"> 本基金会采用二级帐户体系，即基金会在基本帐户 </w:t>
      </w:r>
      <w:r>
        <w:rPr>
          <w:rFonts w:ascii="仿宋" w:hAnsi="仿宋" w:eastAsia="仿宋" w:cs="仿宋"/>
          <w:spacing w:val="-4"/>
          <w:sz w:val="28"/>
          <w:szCs w:val="28"/>
        </w:rPr>
        <w:t>下设立二级明细帐户，记载所管理的各项目（基金）的收支明细和余</w:t>
      </w:r>
      <w:r>
        <w:rPr>
          <w:rFonts w:ascii="仿宋" w:hAnsi="仿宋" w:eastAsia="仿宋" w:cs="仿宋"/>
          <w:spacing w:val="7"/>
          <w:sz w:val="28"/>
          <w:szCs w:val="28"/>
        </w:rPr>
        <w:t xml:space="preserve"> </w:t>
      </w:r>
      <w:r>
        <w:rPr>
          <w:rFonts w:ascii="仿宋" w:hAnsi="仿宋" w:eastAsia="仿宋" w:cs="仿宋"/>
          <w:spacing w:val="-1"/>
          <w:sz w:val="28"/>
          <w:szCs w:val="28"/>
        </w:rPr>
        <w:t>额，捐赠人可以直接了解每笔收支的明细情况。</w:t>
      </w:r>
    </w:p>
    <w:p w14:paraId="14AD6E9A">
      <w:pPr>
        <w:spacing w:before="44" w:line="222" w:lineRule="auto"/>
        <w:ind w:left="3122"/>
        <w:rPr>
          <w:rFonts w:ascii="黑体" w:hAnsi="黑体" w:eastAsia="黑体" w:cs="黑体"/>
          <w:sz w:val="28"/>
          <w:szCs w:val="28"/>
        </w:rPr>
      </w:pPr>
      <w:r>
        <w:rPr>
          <w:rFonts w:ascii="黑体" w:hAnsi="黑体" w:eastAsia="黑体" w:cs="黑体"/>
          <w:b/>
          <w:bCs/>
          <w:spacing w:val="-4"/>
          <w:sz w:val="28"/>
          <w:szCs w:val="28"/>
        </w:rPr>
        <w:t>第十六章</w:t>
      </w:r>
      <w:r>
        <w:rPr>
          <w:rFonts w:ascii="黑体" w:hAnsi="黑体" w:eastAsia="黑体" w:cs="黑体"/>
          <w:spacing w:val="-4"/>
          <w:sz w:val="28"/>
          <w:szCs w:val="28"/>
        </w:rPr>
        <w:t xml:space="preserve"> </w:t>
      </w:r>
      <w:r>
        <w:rPr>
          <w:rFonts w:ascii="黑体" w:hAnsi="黑体" w:eastAsia="黑体" w:cs="黑体"/>
          <w:b/>
          <w:bCs/>
          <w:spacing w:val="-4"/>
          <w:sz w:val="28"/>
          <w:szCs w:val="28"/>
        </w:rPr>
        <w:t>预算管理</w:t>
      </w:r>
    </w:p>
    <w:p w14:paraId="1C72940F">
      <w:pPr>
        <w:spacing w:before="223" w:line="359" w:lineRule="auto"/>
        <w:ind w:left="169" w:right="13" w:firstLine="570"/>
        <w:jc w:val="both"/>
        <w:rPr>
          <w:rFonts w:ascii="仿宋" w:hAnsi="仿宋" w:eastAsia="仿宋" w:cs="仿宋"/>
          <w:sz w:val="28"/>
          <w:szCs w:val="28"/>
        </w:rPr>
      </w:pPr>
      <w:r>
        <w:rPr>
          <w:rFonts w:ascii="仿宋" w:hAnsi="仿宋" w:eastAsia="仿宋" w:cs="仿宋"/>
          <w:b/>
          <w:bCs/>
          <w:spacing w:val="-7"/>
          <w:sz w:val="28"/>
          <w:szCs w:val="28"/>
        </w:rPr>
        <w:t>第四十八条</w:t>
      </w:r>
      <w:r>
        <w:rPr>
          <w:rFonts w:ascii="仿宋" w:hAnsi="仿宋" w:eastAsia="仿宋" w:cs="仿宋"/>
          <w:spacing w:val="-7"/>
          <w:sz w:val="28"/>
          <w:szCs w:val="28"/>
        </w:rPr>
        <w:t xml:space="preserve"> 本基金会根据发展战略，按照年度工作计划和任务，</w:t>
      </w:r>
      <w:r>
        <w:rPr>
          <w:rFonts w:ascii="仿宋" w:hAnsi="仿宋" w:eastAsia="仿宋" w:cs="仿宋"/>
          <w:spacing w:val="4"/>
          <w:sz w:val="28"/>
          <w:szCs w:val="28"/>
        </w:rPr>
        <w:t xml:space="preserve"> </w:t>
      </w:r>
      <w:r>
        <w:rPr>
          <w:rFonts w:ascii="仿宋" w:hAnsi="仿宋" w:eastAsia="仿宋" w:cs="仿宋"/>
          <w:spacing w:val="-4"/>
          <w:sz w:val="28"/>
          <w:szCs w:val="28"/>
        </w:rPr>
        <w:t>本着资源统筹规划、保障工作重点、收入支出协调的原则，坚持勤俭</w:t>
      </w:r>
      <w:r>
        <w:rPr>
          <w:rFonts w:ascii="仿宋" w:hAnsi="仿宋" w:eastAsia="仿宋" w:cs="仿宋"/>
          <w:spacing w:val="5"/>
          <w:sz w:val="28"/>
          <w:szCs w:val="28"/>
        </w:rPr>
        <w:t xml:space="preserve"> </w:t>
      </w:r>
      <w:r>
        <w:rPr>
          <w:rFonts w:ascii="仿宋" w:hAnsi="仿宋" w:eastAsia="仿宋" w:cs="仿宋"/>
          <w:spacing w:val="-2"/>
          <w:sz w:val="28"/>
          <w:szCs w:val="28"/>
        </w:rPr>
        <w:t>办事的方针，编制年度财务预算。</w:t>
      </w:r>
    </w:p>
    <w:p w14:paraId="31455E7D">
      <w:pPr>
        <w:spacing w:before="50" w:line="358" w:lineRule="auto"/>
        <w:ind w:firstLine="739"/>
        <w:jc w:val="both"/>
        <w:rPr>
          <w:rFonts w:ascii="仿宋" w:hAnsi="仿宋" w:eastAsia="仿宋" w:cs="仿宋"/>
          <w:sz w:val="28"/>
          <w:szCs w:val="28"/>
        </w:rPr>
      </w:pPr>
      <w:r>
        <w:rPr>
          <w:rFonts w:ascii="仿宋" w:hAnsi="仿宋" w:eastAsia="仿宋" w:cs="仿宋"/>
          <w:b/>
          <w:bCs/>
          <w:spacing w:val="-9"/>
          <w:sz w:val="28"/>
          <w:szCs w:val="28"/>
        </w:rPr>
        <w:t>第四十九条</w:t>
      </w:r>
      <w:r>
        <w:rPr>
          <w:rFonts w:ascii="仿宋" w:hAnsi="仿宋" w:eastAsia="仿宋" w:cs="仿宋"/>
          <w:spacing w:val="-9"/>
          <w:sz w:val="28"/>
          <w:szCs w:val="28"/>
        </w:rPr>
        <w:t xml:space="preserve"> 秘书处根据年度工作计划，编制各项目的“</w:t>
      </w:r>
      <w:r>
        <w:rPr>
          <w:rFonts w:ascii="仿宋" w:hAnsi="仿宋" w:eastAsia="仿宋" w:cs="仿宋"/>
          <w:spacing w:val="-102"/>
          <w:sz w:val="28"/>
          <w:szCs w:val="28"/>
        </w:rPr>
        <w:t xml:space="preserve"> </w:t>
      </w:r>
      <w:r>
        <w:rPr>
          <w:rFonts w:ascii="仿宋" w:hAnsi="仿宋" w:eastAsia="仿宋" w:cs="仿宋"/>
          <w:spacing w:val="-9"/>
          <w:sz w:val="28"/>
          <w:szCs w:val="28"/>
        </w:rPr>
        <w:t>收入</w:t>
      </w:r>
      <w:r>
        <w:rPr>
          <w:rFonts w:ascii="仿宋" w:hAnsi="仿宋" w:eastAsia="仿宋" w:cs="仿宋"/>
          <w:spacing w:val="-103"/>
          <w:sz w:val="28"/>
          <w:szCs w:val="28"/>
        </w:rPr>
        <w:t xml:space="preserve"> </w:t>
      </w:r>
      <w:r>
        <w:rPr>
          <w:rFonts w:ascii="仿宋" w:hAnsi="仿宋" w:eastAsia="仿宋" w:cs="仿宋"/>
          <w:spacing w:val="-9"/>
          <w:sz w:val="28"/>
          <w:szCs w:val="28"/>
        </w:rPr>
        <w:t>”、</w:t>
      </w:r>
      <w:r>
        <w:rPr>
          <w:rFonts w:ascii="仿宋" w:hAnsi="仿宋" w:eastAsia="仿宋" w:cs="仿宋"/>
          <w:sz w:val="28"/>
          <w:szCs w:val="28"/>
        </w:rPr>
        <w:t xml:space="preserve"> </w:t>
      </w:r>
      <w:r>
        <w:rPr>
          <w:rFonts w:ascii="仿宋" w:hAnsi="仿宋" w:eastAsia="仿宋" w:cs="仿宋"/>
          <w:spacing w:val="-2"/>
          <w:sz w:val="28"/>
          <w:szCs w:val="28"/>
        </w:rPr>
        <w:t>“业务活动成本</w:t>
      </w:r>
      <w:r>
        <w:rPr>
          <w:rFonts w:ascii="仿宋" w:hAnsi="仿宋" w:eastAsia="仿宋" w:cs="仿宋"/>
          <w:spacing w:val="-99"/>
          <w:sz w:val="28"/>
          <w:szCs w:val="28"/>
        </w:rPr>
        <w:t xml:space="preserve"> </w:t>
      </w:r>
      <w:r>
        <w:rPr>
          <w:rFonts w:ascii="仿宋" w:hAnsi="仿宋" w:eastAsia="仿宋" w:cs="仿宋"/>
          <w:spacing w:val="-2"/>
          <w:sz w:val="28"/>
          <w:szCs w:val="28"/>
        </w:rPr>
        <w:t>”、“</w:t>
      </w:r>
      <w:r>
        <w:rPr>
          <w:rFonts w:ascii="仿宋" w:hAnsi="仿宋" w:eastAsia="仿宋" w:cs="仿宋"/>
          <w:spacing w:val="-104"/>
          <w:sz w:val="28"/>
          <w:szCs w:val="28"/>
        </w:rPr>
        <w:t xml:space="preserve"> </w:t>
      </w:r>
      <w:r>
        <w:rPr>
          <w:rFonts w:ascii="仿宋" w:hAnsi="仿宋" w:eastAsia="仿宋" w:cs="仿宋"/>
          <w:spacing w:val="-2"/>
          <w:sz w:val="28"/>
          <w:szCs w:val="28"/>
        </w:rPr>
        <w:t>管理费用</w:t>
      </w:r>
      <w:r>
        <w:rPr>
          <w:rFonts w:ascii="仿宋" w:hAnsi="仿宋" w:eastAsia="仿宋" w:cs="仿宋"/>
          <w:spacing w:val="-102"/>
          <w:sz w:val="28"/>
          <w:szCs w:val="28"/>
        </w:rPr>
        <w:t xml:space="preserve"> </w:t>
      </w:r>
      <w:r>
        <w:rPr>
          <w:rFonts w:ascii="仿宋" w:hAnsi="仿宋" w:eastAsia="仿宋" w:cs="仿宋"/>
          <w:spacing w:val="-2"/>
          <w:sz w:val="28"/>
          <w:szCs w:val="28"/>
        </w:rPr>
        <w:t>”等预算初稿，经秘书长审核后，形</w:t>
      </w:r>
      <w:r>
        <w:rPr>
          <w:rFonts w:ascii="仿宋" w:hAnsi="仿宋" w:eastAsia="仿宋" w:cs="仿宋"/>
          <w:sz w:val="28"/>
          <w:szCs w:val="28"/>
        </w:rPr>
        <w:t xml:space="preserve"> </w:t>
      </w:r>
      <w:r>
        <w:rPr>
          <w:rFonts w:ascii="仿宋" w:hAnsi="仿宋" w:eastAsia="仿宋" w:cs="仿宋"/>
          <w:spacing w:val="6"/>
          <w:sz w:val="28"/>
          <w:szCs w:val="28"/>
        </w:rPr>
        <w:t>成年度财务总预算。财务总预算经理事会审</w:t>
      </w:r>
      <w:r>
        <w:rPr>
          <w:rFonts w:ascii="仿宋" w:hAnsi="仿宋" w:eastAsia="仿宋" w:cs="仿宋"/>
          <w:spacing w:val="5"/>
          <w:sz w:val="28"/>
          <w:szCs w:val="28"/>
        </w:rPr>
        <w:t>议批准后执行。</w:t>
      </w:r>
    </w:p>
    <w:p w14:paraId="31FF69F1">
      <w:pPr>
        <w:spacing w:before="50" w:line="358" w:lineRule="auto"/>
        <w:ind w:left="169" w:right="93" w:firstLine="570"/>
        <w:jc w:val="both"/>
        <w:rPr>
          <w:rFonts w:ascii="仿宋" w:hAnsi="仿宋" w:eastAsia="仿宋" w:cs="仿宋"/>
          <w:sz w:val="28"/>
          <w:szCs w:val="28"/>
        </w:rPr>
      </w:pPr>
      <w:r>
        <w:rPr>
          <w:rFonts w:ascii="仿宋" w:hAnsi="仿宋" w:eastAsia="仿宋" w:cs="仿宋"/>
          <w:b/>
          <w:bCs/>
          <w:sz w:val="28"/>
          <w:szCs w:val="28"/>
        </w:rPr>
        <w:t>第五十条</w:t>
      </w:r>
      <w:r>
        <w:rPr>
          <w:rFonts w:ascii="仿宋" w:hAnsi="仿宋" w:eastAsia="仿宋" w:cs="仿宋"/>
          <w:sz w:val="28"/>
          <w:szCs w:val="28"/>
        </w:rPr>
        <w:t xml:space="preserve"> 秘书处在编制年度预算时，收入预算参考上年预算执</w:t>
      </w:r>
      <w:r>
        <w:rPr>
          <w:rFonts w:ascii="仿宋" w:hAnsi="仿宋" w:eastAsia="仿宋" w:cs="仿宋"/>
          <w:spacing w:val="3"/>
          <w:sz w:val="28"/>
          <w:szCs w:val="28"/>
        </w:rPr>
        <w:t xml:space="preserve"> </w:t>
      </w:r>
      <w:r>
        <w:rPr>
          <w:rFonts w:ascii="仿宋" w:hAnsi="仿宋" w:eastAsia="仿宋" w:cs="仿宋"/>
          <w:spacing w:val="-4"/>
          <w:sz w:val="28"/>
          <w:szCs w:val="28"/>
        </w:rPr>
        <w:t>行情况及业务发展计划合理预测制定，业务活动成本和管理费用根据</w:t>
      </w:r>
      <w:r>
        <w:rPr>
          <w:rFonts w:ascii="仿宋" w:hAnsi="仿宋" w:eastAsia="仿宋" w:cs="仿宋"/>
          <w:spacing w:val="5"/>
          <w:sz w:val="28"/>
          <w:szCs w:val="28"/>
        </w:rPr>
        <w:t xml:space="preserve"> </w:t>
      </w:r>
      <w:r>
        <w:rPr>
          <w:rFonts w:ascii="仿宋" w:hAnsi="仿宋" w:eastAsia="仿宋" w:cs="仿宋"/>
          <w:spacing w:val="-4"/>
          <w:sz w:val="28"/>
          <w:szCs w:val="28"/>
        </w:rPr>
        <w:t>项目特点和工作计划，本着量入为出、厉行节约的原则，按基金会费</w:t>
      </w:r>
    </w:p>
    <w:p w14:paraId="3F157059">
      <w:pPr>
        <w:spacing w:line="358" w:lineRule="auto"/>
        <w:rPr>
          <w:rFonts w:ascii="仿宋" w:hAnsi="仿宋" w:eastAsia="仿宋" w:cs="仿宋"/>
          <w:sz w:val="28"/>
          <w:szCs w:val="28"/>
        </w:rPr>
        <w:sectPr>
          <w:pgSz w:w="11906" w:h="16839"/>
          <w:pgMar w:top="400" w:right="1705" w:bottom="913" w:left="1650" w:header="0" w:footer="850" w:gutter="0"/>
          <w:pgNumType w:fmt="decimal"/>
          <w:cols w:space="720" w:num="1"/>
        </w:sectPr>
      </w:pPr>
    </w:p>
    <w:p w14:paraId="4C214617">
      <w:pPr>
        <w:spacing w:line="287" w:lineRule="auto"/>
        <w:rPr>
          <w:rFonts w:ascii="Arial"/>
          <w:sz w:val="21"/>
        </w:rPr>
      </w:pPr>
    </w:p>
    <w:p w14:paraId="1A5F4CEA">
      <w:pPr>
        <w:spacing w:line="287" w:lineRule="auto"/>
        <w:rPr>
          <w:rFonts w:ascii="Arial"/>
          <w:sz w:val="21"/>
        </w:rPr>
      </w:pPr>
    </w:p>
    <w:p w14:paraId="59976163">
      <w:pPr>
        <w:spacing w:line="288" w:lineRule="auto"/>
        <w:rPr>
          <w:rFonts w:ascii="Arial"/>
          <w:sz w:val="21"/>
        </w:rPr>
      </w:pPr>
    </w:p>
    <w:p w14:paraId="5E7D4C60">
      <w:pPr>
        <w:spacing w:line="288" w:lineRule="auto"/>
        <w:rPr>
          <w:rFonts w:ascii="Arial"/>
          <w:sz w:val="21"/>
        </w:rPr>
      </w:pPr>
    </w:p>
    <w:p w14:paraId="34EC3CC2">
      <w:pPr>
        <w:spacing w:before="91" w:line="221" w:lineRule="auto"/>
        <w:ind w:left="32"/>
        <w:rPr>
          <w:rFonts w:ascii="仿宋" w:hAnsi="仿宋" w:eastAsia="仿宋" w:cs="仿宋"/>
          <w:sz w:val="28"/>
          <w:szCs w:val="28"/>
        </w:rPr>
      </w:pPr>
      <w:r>
        <w:rPr>
          <w:rFonts w:ascii="仿宋" w:hAnsi="仿宋" w:eastAsia="仿宋" w:cs="仿宋"/>
          <w:spacing w:val="-2"/>
          <w:sz w:val="28"/>
          <w:szCs w:val="28"/>
        </w:rPr>
        <w:t>用标准或工作量测算编制。</w:t>
      </w:r>
    </w:p>
    <w:p w14:paraId="078E76D3">
      <w:pPr>
        <w:spacing w:before="227" w:line="364" w:lineRule="auto"/>
        <w:ind w:left="33" w:right="47" w:firstLine="570"/>
        <w:jc w:val="both"/>
        <w:rPr>
          <w:rFonts w:ascii="仿宋" w:hAnsi="仿宋" w:eastAsia="仿宋" w:cs="仿宋"/>
          <w:sz w:val="28"/>
          <w:szCs w:val="28"/>
        </w:rPr>
      </w:pPr>
      <w:r>
        <w:rPr>
          <w:rFonts w:ascii="仿宋" w:hAnsi="仿宋" w:eastAsia="仿宋" w:cs="仿宋"/>
          <w:b/>
          <w:bCs/>
          <w:sz w:val="28"/>
          <w:szCs w:val="28"/>
        </w:rPr>
        <w:t>第五十一条</w:t>
      </w:r>
      <w:r>
        <w:rPr>
          <w:rFonts w:ascii="仿宋" w:hAnsi="仿宋" w:eastAsia="仿宋" w:cs="仿宋"/>
          <w:sz w:val="28"/>
          <w:szCs w:val="28"/>
        </w:rPr>
        <w:t xml:space="preserve"> 秘书处必须严格执行财务预算。因工作计划、工作 </w:t>
      </w:r>
      <w:r>
        <w:rPr>
          <w:rFonts w:ascii="仿宋" w:hAnsi="仿宋" w:eastAsia="仿宋" w:cs="仿宋"/>
          <w:spacing w:val="-4"/>
          <w:sz w:val="28"/>
          <w:szCs w:val="28"/>
        </w:rPr>
        <w:t>内容有较大调整，或者人员发生较大变化，需要调整预算时，由秘书</w:t>
      </w:r>
      <w:r>
        <w:rPr>
          <w:rFonts w:ascii="仿宋" w:hAnsi="仿宋" w:eastAsia="仿宋" w:cs="仿宋"/>
          <w:spacing w:val="5"/>
          <w:sz w:val="28"/>
          <w:szCs w:val="28"/>
        </w:rPr>
        <w:t xml:space="preserve"> </w:t>
      </w:r>
      <w:r>
        <w:rPr>
          <w:rFonts w:ascii="仿宋" w:hAnsi="仿宋" w:eastAsia="仿宋" w:cs="仿宋"/>
          <w:spacing w:val="-1"/>
          <w:sz w:val="28"/>
          <w:szCs w:val="28"/>
        </w:rPr>
        <w:t>处报秘书长，提交理事长，理事长提交理事会重新审议批准</w:t>
      </w:r>
      <w:r>
        <w:rPr>
          <w:rFonts w:ascii="仿宋" w:hAnsi="仿宋" w:eastAsia="仿宋" w:cs="仿宋"/>
          <w:spacing w:val="-2"/>
          <w:sz w:val="28"/>
          <w:szCs w:val="28"/>
        </w:rPr>
        <w:t>后执行。</w:t>
      </w:r>
      <w:r>
        <w:rPr>
          <w:rFonts w:ascii="仿宋" w:hAnsi="仿宋" w:eastAsia="仿宋" w:cs="仿宋"/>
          <w:sz w:val="28"/>
          <w:szCs w:val="28"/>
        </w:rPr>
        <w:t xml:space="preserve"> </w:t>
      </w:r>
      <w:r>
        <w:rPr>
          <w:rFonts w:ascii="仿宋" w:hAnsi="仿宋" w:eastAsia="仿宋" w:cs="仿宋"/>
          <w:spacing w:val="-10"/>
          <w:sz w:val="28"/>
          <w:szCs w:val="28"/>
        </w:rPr>
        <w:t>在年内季未和年末，秘书处应总结、分析预算执行情况及存在</w:t>
      </w:r>
      <w:r>
        <w:rPr>
          <w:rFonts w:ascii="仿宋" w:hAnsi="仿宋" w:eastAsia="仿宋" w:cs="仿宋"/>
          <w:spacing w:val="-11"/>
          <w:sz w:val="28"/>
          <w:szCs w:val="28"/>
        </w:rPr>
        <w:t>的问题，</w:t>
      </w:r>
      <w:r>
        <w:rPr>
          <w:rFonts w:ascii="仿宋" w:hAnsi="仿宋" w:eastAsia="仿宋" w:cs="仿宋"/>
          <w:sz w:val="28"/>
          <w:szCs w:val="28"/>
        </w:rPr>
        <w:t xml:space="preserve"> </w:t>
      </w:r>
      <w:r>
        <w:rPr>
          <w:rFonts w:ascii="仿宋" w:hAnsi="仿宋" w:eastAsia="仿宋" w:cs="仿宋"/>
          <w:spacing w:val="-4"/>
          <w:sz w:val="28"/>
          <w:szCs w:val="28"/>
        </w:rPr>
        <w:t>提出改进意见，报秘书长和理事长。执行情况纳入秘书处的业绩考核</w:t>
      </w:r>
      <w:r>
        <w:rPr>
          <w:rFonts w:ascii="仿宋" w:hAnsi="仿宋" w:eastAsia="仿宋" w:cs="仿宋"/>
          <w:spacing w:val="5"/>
          <w:sz w:val="28"/>
          <w:szCs w:val="28"/>
        </w:rPr>
        <w:t xml:space="preserve"> </w:t>
      </w:r>
      <w:r>
        <w:rPr>
          <w:rFonts w:ascii="仿宋" w:hAnsi="仿宋" w:eastAsia="仿宋" w:cs="仿宋"/>
          <w:spacing w:val="-6"/>
          <w:sz w:val="28"/>
          <w:szCs w:val="28"/>
        </w:rPr>
        <w:t>目标。</w:t>
      </w:r>
    </w:p>
    <w:p w14:paraId="6E03448E">
      <w:pPr>
        <w:spacing w:before="44" w:line="222" w:lineRule="auto"/>
        <w:ind w:left="2986"/>
        <w:rPr>
          <w:rFonts w:ascii="黑体" w:hAnsi="黑体" w:eastAsia="黑体" w:cs="黑体"/>
          <w:sz w:val="28"/>
          <w:szCs w:val="28"/>
        </w:rPr>
      </w:pPr>
      <w:r>
        <w:rPr>
          <w:rFonts w:ascii="黑体" w:hAnsi="黑体" w:eastAsia="黑体" w:cs="黑体"/>
          <w:b/>
          <w:bCs/>
          <w:spacing w:val="-4"/>
          <w:sz w:val="28"/>
          <w:szCs w:val="28"/>
        </w:rPr>
        <w:t>第十七章</w:t>
      </w:r>
      <w:r>
        <w:rPr>
          <w:rFonts w:ascii="黑体" w:hAnsi="黑体" w:eastAsia="黑体" w:cs="黑体"/>
          <w:spacing w:val="-4"/>
          <w:sz w:val="28"/>
          <w:szCs w:val="28"/>
        </w:rPr>
        <w:t xml:space="preserve"> </w:t>
      </w:r>
      <w:r>
        <w:rPr>
          <w:rFonts w:ascii="黑体" w:hAnsi="黑体" w:eastAsia="黑体" w:cs="黑体"/>
          <w:b/>
          <w:bCs/>
          <w:spacing w:val="-4"/>
          <w:sz w:val="28"/>
          <w:szCs w:val="28"/>
        </w:rPr>
        <w:t>收入管理</w:t>
      </w:r>
    </w:p>
    <w:p w14:paraId="3926EFF3">
      <w:pPr>
        <w:spacing w:before="222" w:line="222" w:lineRule="auto"/>
        <w:ind w:left="603"/>
        <w:rPr>
          <w:rFonts w:ascii="仿宋" w:hAnsi="仿宋" w:eastAsia="仿宋" w:cs="仿宋"/>
          <w:sz w:val="28"/>
          <w:szCs w:val="28"/>
        </w:rPr>
      </w:pPr>
      <w:r>
        <w:rPr>
          <w:rFonts w:ascii="仿宋" w:hAnsi="仿宋" w:eastAsia="仿宋" w:cs="仿宋"/>
          <w:b/>
          <w:bCs/>
          <w:spacing w:val="-2"/>
          <w:sz w:val="28"/>
          <w:szCs w:val="28"/>
        </w:rPr>
        <w:t>第五十二条</w:t>
      </w:r>
      <w:r>
        <w:rPr>
          <w:rFonts w:ascii="仿宋" w:hAnsi="仿宋" w:eastAsia="仿宋" w:cs="仿宋"/>
          <w:spacing w:val="-2"/>
          <w:sz w:val="28"/>
          <w:szCs w:val="28"/>
        </w:rPr>
        <w:t xml:space="preserve"> 本基金会分类核算捐赠收入与捐赠以外其他收入。</w:t>
      </w:r>
    </w:p>
    <w:p w14:paraId="66E66C36">
      <w:pPr>
        <w:spacing w:before="223" w:line="353" w:lineRule="auto"/>
        <w:ind w:left="41" w:right="127" w:firstLine="562"/>
        <w:rPr>
          <w:rFonts w:ascii="仿宋" w:hAnsi="仿宋" w:eastAsia="仿宋" w:cs="仿宋"/>
          <w:sz w:val="28"/>
          <w:szCs w:val="28"/>
        </w:rPr>
      </w:pPr>
      <w:r>
        <w:rPr>
          <w:rFonts w:ascii="仿宋" w:hAnsi="仿宋" w:eastAsia="仿宋" w:cs="仿宋"/>
          <w:b/>
          <w:bCs/>
          <w:sz w:val="28"/>
          <w:szCs w:val="28"/>
        </w:rPr>
        <w:t>第五十三条</w:t>
      </w:r>
      <w:r>
        <w:rPr>
          <w:rFonts w:ascii="仿宋" w:hAnsi="仿宋" w:eastAsia="仿宋" w:cs="仿宋"/>
          <w:sz w:val="28"/>
          <w:szCs w:val="28"/>
        </w:rPr>
        <w:t xml:space="preserve"> 本基金会根据各项收入性质严格划分限定性收入和 </w:t>
      </w:r>
      <w:r>
        <w:rPr>
          <w:rFonts w:ascii="仿宋" w:hAnsi="仿宋" w:eastAsia="仿宋" w:cs="仿宋"/>
          <w:spacing w:val="-1"/>
          <w:sz w:val="28"/>
          <w:szCs w:val="28"/>
        </w:rPr>
        <w:t>非限定性收入，各项收入均纳入年度总预算统筹</w:t>
      </w:r>
      <w:r>
        <w:rPr>
          <w:rFonts w:ascii="仿宋" w:hAnsi="仿宋" w:eastAsia="仿宋" w:cs="仿宋"/>
          <w:spacing w:val="-2"/>
          <w:sz w:val="28"/>
          <w:szCs w:val="28"/>
        </w:rPr>
        <w:t>计划。</w:t>
      </w:r>
    </w:p>
    <w:p w14:paraId="0B28C30B">
      <w:pPr>
        <w:spacing w:before="48" w:line="360" w:lineRule="auto"/>
        <w:ind w:left="32" w:right="127" w:firstLine="571"/>
        <w:rPr>
          <w:rFonts w:ascii="仿宋" w:hAnsi="仿宋" w:eastAsia="仿宋" w:cs="仿宋"/>
          <w:sz w:val="28"/>
          <w:szCs w:val="28"/>
        </w:rPr>
      </w:pPr>
      <w:r>
        <w:rPr>
          <w:rFonts w:ascii="仿宋" w:hAnsi="仿宋" w:eastAsia="仿宋" w:cs="仿宋"/>
          <w:b/>
          <w:bCs/>
          <w:spacing w:val="-3"/>
          <w:sz w:val="28"/>
          <w:szCs w:val="28"/>
        </w:rPr>
        <w:t>第五十四条</w:t>
      </w:r>
      <w:r>
        <w:rPr>
          <w:rFonts w:ascii="仿宋" w:hAnsi="仿宋" w:eastAsia="仿宋" w:cs="仿宋"/>
          <w:spacing w:val="-3"/>
          <w:sz w:val="28"/>
          <w:szCs w:val="28"/>
        </w:rPr>
        <w:t xml:space="preserve"> 本基金会各项收入均归</w:t>
      </w:r>
      <w:r>
        <w:rPr>
          <w:rFonts w:ascii="仿宋" w:hAnsi="仿宋" w:eastAsia="仿宋" w:cs="仿宋"/>
          <w:spacing w:val="-56"/>
          <w:sz w:val="28"/>
          <w:szCs w:val="28"/>
        </w:rPr>
        <w:t xml:space="preserve"> </w:t>
      </w:r>
      <w:r>
        <w:rPr>
          <w:rFonts w:ascii="仿宋" w:hAnsi="仿宋" w:eastAsia="仿宋" w:cs="仿宋"/>
          <w:spacing w:val="-3"/>
          <w:sz w:val="28"/>
          <w:szCs w:val="28"/>
        </w:rPr>
        <w:t>口由财务部门统一管理和核</w:t>
      </w:r>
      <w:r>
        <w:rPr>
          <w:rFonts w:ascii="仿宋" w:hAnsi="仿宋" w:eastAsia="仿宋" w:cs="仿宋"/>
          <w:sz w:val="28"/>
          <w:szCs w:val="28"/>
        </w:rPr>
        <w:t xml:space="preserve"> </w:t>
      </w:r>
      <w:r>
        <w:rPr>
          <w:rFonts w:ascii="仿宋" w:hAnsi="仿宋" w:eastAsia="仿宋" w:cs="仿宋"/>
          <w:spacing w:val="-4"/>
          <w:sz w:val="28"/>
          <w:szCs w:val="28"/>
        </w:rPr>
        <w:t>算，并与捐赠人签订《捐赠合同》，严格捐赠票据及其他票据的使用</w:t>
      </w:r>
      <w:r>
        <w:rPr>
          <w:rFonts w:ascii="仿宋" w:hAnsi="仿宋" w:eastAsia="仿宋" w:cs="仿宋"/>
          <w:spacing w:val="6"/>
          <w:sz w:val="28"/>
          <w:szCs w:val="28"/>
        </w:rPr>
        <w:t xml:space="preserve"> </w:t>
      </w:r>
      <w:r>
        <w:rPr>
          <w:rFonts w:ascii="仿宋" w:hAnsi="仿宋" w:eastAsia="仿宋" w:cs="仿宋"/>
          <w:spacing w:val="-5"/>
          <w:sz w:val="28"/>
          <w:szCs w:val="28"/>
        </w:rPr>
        <w:t>和签发。</w:t>
      </w:r>
    </w:p>
    <w:p w14:paraId="2A4ECA91">
      <w:pPr>
        <w:spacing w:before="43" w:line="222" w:lineRule="auto"/>
        <w:ind w:left="2986"/>
        <w:rPr>
          <w:rFonts w:ascii="黑体" w:hAnsi="黑体" w:eastAsia="黑体" w:cs="黑体"/>
          <w:sz w:val="28"/>
          <w:szCs w:val="28"/>
        </w:rPr>
      </w:pPr>
      <w:r>
        <w:rPr>
          <w:rFonts w:ascii="黑体" w:hAnsi="黑体" w:eastAsia="黑体" w:cs="黑体"/>
          <w:b/>
          <w:bCs/>
          <w:spacing w:val="-4"/>
          <w:sz w:val="28"/>
          <w:szCs w:val="28"/>
        </w:rPr>
        <w:t>第十八章</w:t>
      </w:r>
      <w:r>
        <w:rPr>
          <w:rFonts w:ascii="黑体" w:hAnsi="黑体" w:eastAsia="黑体" w:cs="黑体"/>
          <w:spacing w:val="-4"/>
          <w:sz w:val="28"/>
          <w:szCs w:val="28"/>
        </w:rPr>
        <w:t xml:space="preserve"> </w:t>
      </w:r>
      <w:r>
        <w:rPr>
          <w:rFonts w:ascii="黑体" w:hAnsi="黑体" w:eastAsia="黑体" w:cs="黑体"/>
          <w:b/>
          <w:bCs/>
          <w:spacing w:val="-4"/>
          <w:sz w:val="28"/>
          <w:szCs w:val="28"/>
        </w:rPr>
        <w:t>支出管理</w:t>
      </w:r>
    </w:p>
    <w:p w14:paraId="316F0A5F">
      <w:pPr>
        <w:spacing w:before="222" w:line="359" w:lineRule="auto"/>
        <w:ind w:left="36" w:right="79" w:firstLine="567"/>
        <w:jc w:val="both"/>
        <w:rPr>
          <w:rFonts w:ascii="仿宋" w:hAnsi="仿宋" w:eastAsia="仿宋" w:cs="仿宋"/>
          <w:sz w:val="28"/>
          <w:szCs w:val="28"/>
        </w:rPr>
      </w:pPr>
      <w:r>
        <w:rPr>
          <w:rFonts w:ascii="仿宋" w:hAnsi="仿宋" w:eastAsia="仿宋" w:cs="仿宋"/>
          <w:b/>
          <w:bCs/>
          <w:sz w:val="28"/>
          <w:szCs w:val="28"/>
        </w:rPr>
        <w:t>第五十五条</w:t>
      </w:r>
      <w:r>
        <w:rPr>
          <w:rFonts w:ascii="仿宋" w:hAnsi="仿宋" w:eastAsia="仿宋" w:cs="仿宋"/>
          <w:sz w:val="28"/>
          <w:szCs w:val="28"/>
        </w:rPr>
        <w:t xml:space="preserve"> 本基金会各项支出的安排必须有利于公益慈善事业 </w:t>
      </w:r>
      <w:r>
        <w:rPr>
          <w:rFonts w:ascii="仿宋" w:hAnsi="仿宋" w:eastAsia="仿宋" w:cs="仿宋"/>
          <w:spacing w:val="-2"/>
          <w:sz w:val="28"/>
          <w:szCs w:val="28"/>
        </w:rPr>
        <w:t>的发展，必须贯彻厉行节约和量力而行的原则，</w:t>
      </w:r>
      <w:r>
        <w:rPr>
          <w:rFonts w:ascii="仿宋" w:hAnsi="仿宋" w:eastAsia="仿宋" w:cs="仿宋"/>
          <w:spacing w:val="-3"/>
          <w:sz w:val="28"/>
          <w:szCs w:val="28"/>
        </w:rPr>
        <w:t>严格遵守各项财政、</w:t>
      </w:r>
      <w:r>
        <w:rPr>
          <w:rFonts w:ascii="仿宋" w:hAnsi="仿宋" w:eastAsia="仿宋" w:cs="仿宋"/>
          <w:sz w:val="28"/>
          <w:szCs w:val="28"/>
        </w:rPr>
        <w:t xml:space="preserve"> </w:t>
      </w:r>
      <w:r>
        <w:rPr>
          <w:rFonts w:ascii="仿宋" w:hAnsi="仿宋" w:eastAsia="仿宋" w:cs="仿宋"/>
          <w:spacing w:val="-3"/>
          <w:sz w:val="28"/>
          <w:szCs w:val="28"/>
        </w:rPr>
        <w:t>财务制度和财经纪律。</w:t>
      </w:r>
    </w:p>
    <w:p w14:paraId="59532E5D">
      <w:pPr>
        <w:spacing w:before="49" w:line="361" w:lineRule="auto"/>
        <w:ind w:left="31" w:firstLine="572"/>
        <w:jc w:val="both"/>
        <w:rPr>
          <w:rFonts w:ascii="仿宋" w:hAnsi="仿宋" w:eastAsia="仿宋" w:cs="仿宋"/>
          <w:sz w:val="28"/>
          <w:szCs w:val="28"/>
        </w:rPr>
      </w:pPr>
      <w:r>
        <w:rPr>
          <w:rFonts w:ascii="仿宋" w:hAnsi="仿宋" w:eastAsia="仿宋" w:cs="仿宋"/>
          <w:b/>
          <w:bCs/>
          <w:sz w:val="28"/>
          <w:szCs w:val="28"/>
        </w:rPr>
        <w:t>第五十六条</w:t>
      </w:r>
      <w:r>
        <w:rPr>
          <w:rFonts w:ascii="仿宋" w:hAnsi="仿宋" w:eastAsia="仿宋" w:cs="仿宋"/>
          <w:sz w:val="28"/>
          <w:szCs w:val="28"/>
        </w:rPr>
        <w:t xml:space="preserve"> 各内设机构必须按照理事会批准的年度预算和规定  </w:t>
      </w:r>
      <w:r>
        <w:rPr>
          <w:rFonts w:ascii="仿宋" w:hAnsi="仿宋" w:eastAsia="仿宋" w:cs="仿宋"/>
          <w:spacing w:val="-9"/>
          <w:sz w:val="28"/>
          <w:szCs w:val="28"/>
        </w:rPr>
        <w:t>的开支范围、标准执行资助支出和费用支出，并严格按照《捐赠合同》</w:t>
      </w:r>
      <w:r>
        <w:rPr>
          <w:rFonts w:ascii="仿宋" w:hAnsi="仿宋" w:eastAsia="仿宋" w:cs="仿宋"/>
          <w:spacing w:val="14"/>
          <w:sz w:val="28"/>
          <w:szCs w:val="28"/>
        </w:rPr>
        <w:t xml:space="preserve"> </w:t>
      </w:r>
      <w:r>
        <w:rPr>
          <w:rFonts w:ascii="仿宋" w:hAnsi="仿宋" w:eastAsia="仿宋" w:cs="仿宋"/>
          <w:spacing w:val="-4"/>
          <w:sz w:val="28"/>
          <w:szCs w:val="28"/>
        </w:rPr>
        <w:t>安排资助计划；建立健全各项支出管理和审批制度，两干元以上的大</w:t>
      </w:r>
      <w:r>
        <w:rPr>
          <w:rFonts w:ascii="仿宋" w:hAnsi="仿宋" w:eastAsia="仿宋" w:cs="仿宋"/>
          <w:spacing w:val="3"/>
          <w:sz w:val="28"/>
          <w:szCs w:val="28"/>
        </w:rPr>
        <w:t xml:space="preserve">  </w:t>
      </w:r>
      <w:r>
        <w:rPr>
          <w:rFonts w:ascii="仿宋" w:hAnsi="仿宋" w:eastAsia="仿宋" w:cs="仿宋"/>
          <w:spacing w:val="-1"/>
          <w:sz w:val="28"/>
          <w:szCs w:val="28"/>
        </w:rPr>
        <w:t>额资金在拨付前，应填写《拨付资金申请表》。</w:t>
      </w:r>
    </w:p>
    <w:p w14:paraId="6303AA9D">
      <w:pPr>
        <w:spacing w:before="49" w:line="354" w:lineRule="auto"/>
        <w:ind w:left="40" w:right="127" w:firstLine="563"/>
        <w:rPr>
          <w:rFonts w:ascii="仿宋" w:hAnsi="仿宋" w:eastAsia="仿宋" w:cs="仿宋"/>
          <w:sz w:val="28"/>
          <w:szCs w:val="28"/>
        </w:rPr>
      </w:pPr>
      <w:r>
        <w:rPr>
          <w:rFonts w:ascii="仿宋" w:hAnsi="仿宋" w:eastAsia="仿宋" w:cs="仿宋"/>
          <w:b/>
          <w:bCs/>
          <w:spacing w:val="10"/>
          <w:sz w:val="28"/>
          <w:szCs w:val="28"/>
        </w:rPr>
        <w:t>第五十七条</w:t>
      </w:r>
      <w:r>
        <w:rPr>
          <w:rFonts w:ascii="仿宋" w:hAnsi="仿宋" w:eastAsia="仿宋" w:cs="仿宋"/>
          <w:spacing w:val="10"/>
          <w:sz w:val="28"/>
          <w:szCs w:val="28"/>
        </w:rPr>
        <w:t xml:space="preserve"> 本基金会管理费支出不超过当年总支出的百分之 </w:t>
      </w:r>
      <w:r>
        <w:rPr>
          <w:rFonts w:ascii="仿宋" w:hAnsi="仿宋" w:eastAsia="仿宋" w:cs="仿宋"/>
          <w:spacing w:val="-13"/>
          <w:sz w:val="28"/>
          <w:szCs w:val="28"/>
        </w:rPr>
        <w:t>十。</w:t>
      </w:r>
    </w:p>
    <w:p w14:paraId="587955C6">
      <w:pPr>
        <w:spacing w:line="354" w:lineRule="auto"/>
        <w:rPr>
          <w:rFonts w:ascii="仿宋" w:hAnsi="仿宋" w:eastAsia="仿宋" w:cs="仿宋"/>
          <w:sz w:val="28"/>
          <w:szCs w:val="28"/>
        </w:rPr>
        <w:sectPr>
          <w:pgSz w:w="11906" w:h="16839"/>
          <w:pgMar w:top="400" w:right="1671" w:bottom="913" w:left="1785" w:header="0" w:footer="850" w:gutter="0"/>
          <w:pgNumType w:fmt="decimal"/>
          <w:cols w:space="720" w:num="1"/>
        </w:sectPr>
      </w:pPr>
    </w:p>
    <w:p w14:paraId="32CBDFDF">
      <w:pPr>
        <w:spacing w:line="287" w:lineRule="auto"/>
        <w:rPr>
          <w:rFonts w:ascii="Arial"/>
          <w:sz w:val="21"/>
        </w:rPr>
      </w:pPr>
    </w:p>
    <w:p w14:paraId="4E2889E4">
      <w:pPr>
        <w:spacing w:line="287" w:lineRule="auto"/>
        <w:rPr>
          <w:rFonts w:ascii="Arial"/>
          <w:sz w:val="21"/>
        </w:rPr>
      </w:pPr>
    </w:p>
    <w:p w14:paraId="0C671435">
      <w:pPr>
        <w:spacing w:line="287" w:lineRule="auto"/>
        <w:rPr>
          <w:rFonts w:ascii="Arial"/>
          <w:sz w:val="21"/>
        </w:rPr>
      </w:pPr>
    </w:p>
    <w:p w14:paraId="7DB91913">
      <w:pPr>
        <w:spacing w:line="288" w:lineRule="auto"/>
        <w:rPr>
          <w:rFonts w:ascii="Arial"/>
          <w:sz w:val="21"/>
        </w:rPr>
      </w:pPr>
    </w:p>
    <w:p w14:paraId="744A9E92">
      <w:pPr>
        <w:spacing w:before="91" w:line="222" w:lineRule="auto"/>
        <w:ind w:left="603"/>
        <w:rPr>
          <w:rFonts w:ascii="仿宋" w:hAnsi="仿宋" w:eastAsia="仿宋" w:cs="仿宋"/>
          <w:sz w:val="28"/>
          <w:szCs w:val="28"/>
        </w:rPr>
      </w:pPr>
      <w:r>
        <w:rPr>
          <w:rFonts w:ascii="仿宋" w:hAnsi="仿宋" w:eastAsia="仿宋" w:cs="仿宋"/>
          <w:b/>
          <w:bCs/>
          <w:spacing w:val="-2"/>
          <w:sz w:val="28"/>
          <w:szCs w:val="28"/>
        </w:rPr>
        <w:t>第五十八条</w:t>
      </w:r>
      <w:r>
        <w:rPr>
          <w:rFonts w:ascii="仿宋" w:hAnsi="仿宋" w:eastAsia="仿宋" w:cs="仿宋"/>
          <w:spacing w:val="-2"/>
          <w:sz w:val="28"/>
          <w:szCs w:val="28"/>
        </w:rPr>
        <w:t xml:space="preserve"> 本基金会的费用支出按以下权限进行审批：</w:t>
      </w:r>
    </w:p>
    <w:p w14:paraId="697B4876">
      <w:pPr>
        <w:spacing w:before="222" w:line="354" w:lineRule="auto"/>
        <w:ind w:left="32" w:right="101" w:firstLine="571"/>
        <w:rPr>
          <w:rFonts w:ascii="仿宋" w:hAnsi="仿宋" w:eastAsia="仿宋" w:cs="仿宋"/>
          <w:sz w:val="28"/>
          <w:szCs w:val="28"/>
        </w:rPr>
      </w:pPr>
      <w:r>
        <w:rPr>
          <w:rFonts w:ascii="仿宋" w:hAnsi="仿宋" w:eastAsia="仿宋" w:cs="仿宋"/>
          <w:spacing w:val="-4"/>
          <w:sz w:val="28"/>
          <w:szCs w:val="28"/>
        </w:rPr>
        <w:t>1.项目（计划）在年度预算计划内的费用支</w:t>
      </w:r>
      <w:r>
        <w:rPr>
          <w:rFonts w:ascii="仿宋" w:hAnsi="仿宋" w:eastAsia="仿宋" w:cs="仿宋"/>
          <w:spacing w:val="-5"/>
          <w:sz w:val="28"/>
          <w:szCs w:val="28"/>
        </w:rPr>
        <w:t>出，十万元以上费用</w:t>
      </w:r>
      <w:r>
        <w:rPr>
          <w:rFonts w:ascii="仿宋" w:hAnsi="仿宋" w:eastAsia="仿宋" w:cs="仿宋"/>
          <w:sz w:val="28"/>
          <w:szCs w:val="28"/>
        </w:rPr>
        <w:t xml:space="preserve"> </w:t>
      </w:r>
      <w:r>
        <w:rPr>
          <w:rFonts w:ascii="仿宋" w:hAnsi="仿宋" w:eastAsia="仿宋" w:cs="仿宋"/>
          <w:spacing w:val="-2"/>
          <w:sz w:val="28"/>
          <w:szCs w:val="28"/>
        </w:rPr>
        <w:t>支出由理事会决议审批。</w:t>
      </w:r>
    </w:p>
    <w:p w14:paraId="66F685F4">
      <w:pPr>
        <w:spacing w:before="47" w:line="223" w:lineRule="auto"/>
        <w:ind w:left="586"/>
        <w:rPr>
          <w:rFonts w:ascii="仿宋" w:hAnsi="仿宋" w:eastAsia="仿宋" w:cs="仿宋"/>
          <w:sz w:val="28"/>
          <w:szCs w:val="28"/>
        </w:rPr>
      </w:pPr>
      <w:r>
        <w:rPr>
          <w:rFonts w:ascii="仿宋" w:hAnsi="仿宋" w:eastAsia="仿宋" w:cs="仿宋"/>
          <w:spacing w:val="-1"/>
          <w:sz w:val="28"/>
          <w:szCs w:val="28"/>
        </w:rPr>
        <w:t>2.五万元以上至十万元费用支出由理事长最终审批。</w:t>
      </w:r>
    </w:p>
    <w:p w14:paraId="50B7AAB3">
      <w:pPr>
        <w:spacing w:before="221" w:line="353" w:lineRule="auto"/>
        <w:ind w:left="581" w:right="604" w:firstLine="6"/>
        <w:rPr>
          <w:rFonts w:ascii="仿宋" w:hAnsi="仿宋" w:eastAsia="仿宋" w:cs="仿宋"/>
          <w:sz w:val="28"/>
          <w:szCs w:val="28"/>
        </w:rPr>
      </w:pPr>
      <w:r>
        <w:rPr>
          <w:rFonts w:ascii="仿宋" w:hAnsi="仿宋" w:eastAsia="仿宋" w:cs="仿宋"/>
          <w:spacing w:val="-2"/>
          <w:sz w:val="28"/>
          <w:szCs w:val="28"/>
        </w:rPr>
        <w:t>3.一万元以上至五万元费用支出由常务副理事长最终审批。</w:t>
      </w:r>
      <w:r>
        <w:rPr>
          <w:rFonts w:ascii="仿宋" w:hAnsi="仿宋" w:eastAsia="仿宋" w:cs="仿宋"/>
          <w:spacing w:val="1"/>
          <w:sz w:val="28"/>
          <w:szCs w:val="28"/>
        </w:rPr>
        <w:t xml:space="preserve"> </w:t>
      </w:r>
      <w:r>
        <w:rPr>
          <w:rFonts w:ascii="仿宋" w:hAnsi="仿宋" w:eastAsia="仿宋" w:cs="仿宋"/>
          <w:spacing w:val="-1"/>
          <w:sz w:val="28"/>
          <w:szCs w:val="28"/>
        </w:rPr>
        <w:t>4.一万元以下费用支出由执行秘书长最终审批。</w:t>
      </w:r>
    </w:p>
    <w:p w14:paraId="2F0C801D">
      <w:pPr>
        <w:spacing w:before="50" w:line="353" w:lineRule="auto"/>
        <w:ind w:left="46" w:right="101" w:firstLine="556"/>
        <w:rPr>
          <w:rFonts w:ascii="仿宋" w:hAnsi="仿宋" w:eastAsia="仿宋" w:cs="仿宋"/>
          <w:sz w:val="28"/>
          <w:szCs w:val="28"/>
        </w:rPr>
      </w:pPr>
      <w:r>
        <w:rPr>
          <w:rFonts w:ascii="仿宋" w:hAnsi="仿宋" w:eastAsia="仿宋" w:cs="仿宋"/>
          <w:b/>
          <w:bCs/>
          <w:sz w:val="28"/>
          <w:szCs w:val="28"/>
        </w:rPr>
        <w:t>第五十九条</w:t>
      </w:r>
      <w:r>
        <w:rPr>
          <w:rFonts w:ascii="仿宋" w:hAnsi="仿宋" w:eastAsia="仿宋" w:cs="仿宋"/>
          <w:sz w:val="28"/>
          <w:szCs w:val="28"/>
        </w:rPr>
        <w:t xml:space="preserve"> 受助人应与基金会签订《资助合同》，收到基金会 </w:t>
      </w:r>
      <w:r>
        <w:rPr>
          <w:rFonts w:ascii="仿宋" w:hAnsi="仿宋" w:eastAsia="仿宋" w:cs="仿宋"/>
          <w:spacing w:val="-2"/>
          <w:sz w:val="28"/>
          <w:szCs w:val="28"/>
        </w:rPr>
        <w:t>资助的货币或物资后，应向基金会出具收据。</w:t>
      </w:r>
    </w:p>
    <w:p w14:paraId="788899A8">
      <w:pPr>
        <w:spacing w:before="47" w:line="222" w:lineRule="auto"/>
        <w:ind w:left="2986"/>
        <w:rPr>
          <w:rFonts w:ascii="黑体" w:hAnsi="黑体" w:eastAsia="黑体" w:cs="黑体"/>
          <w:sz w:val="28"/>
          <w:szCs w:val="28"/>
        </w:rPr>
      </w:pPr>
      <w:r>
        <w:rPr>
          <w:rFonts w:ascii="黑体" w:hAnsi="黑体" w:eastAsia="黑体" w:cs="黑体"/>
          <w:b/>
          <w:bCs/>
          <w:spacing w:val="-4"/>
          <w:sz w:val="28"/>
          <w:szCs w:val="28"/>
        </w:rPr>
        <w:t>第十九章</w:t>
      </w:r>
      <w:r>
        <w:rPr>
          <w:rFonts w:ascii="黑体" w:hAnsi="黑体" w:eastAsia="黑体" w:cs="黑体"/>
          <w:spacing w:val="-4"/>
          <w:sz w:val="28"/>
          <w:szCs w:val="28"/>
        </w:rPr>
        <w:t xml:space="preserve"> </w:t>
      </w:r>
      <w:r>
        <w:rPr>
          <w:rFonts w:ascii="黑体" w:hAnsi="黑体" w:eastAsia="黑体" w:cs="黑体"/>
          <w:b/>
          <w:bCs/>
          <w:spacing w:val="-4"/>
          <w:sz w:val="28"/>
          <w:szCs w:val="28"/>
        </w:rPr>
        <w:t>票据管理</w:t>
      </w:r>
    </w:p>
    <w:p w14:paraId="751A3A8A">
      <w:pPr>
        <w:spacing w:before="226" w:line="358" w:lineRule="auto"/>
        <w:ind w:left="42" w:right="19" w:firstLine="561"/>
        <w:jc w:val="both"/>
        <w:rPr>
          <w:rFonts w:ascii="仿宋" w:hAnsi="仿宋" w:eastAsia="仿宋" w:cs="仿宋"/>
          <w:sz w:val="28"/>
          <w:szCs w:val="28"/>
        </w:rPr>
      </w:pPr>
      <w:r>
        <w:rPr>
          <w:rFonts w:ascii="仿宋" w:hAnsi="仿宋" w:eastAsia="仿宋" w:cs="仿宋"/>
          <w:b/>
          <w:bCs/>
          <w:sz w:val="28"/>
          <w:szCs w:val="28"/>
        </w:rPr>
        <w:t>第六十条</w:t>
      </w:r>
      <w:r>
        <w:rPr>
          <w:rFonts w:ascii="仿宋" w:hAnsi="仿宋" w:eastAsia="仿宋" w:cs="仿宋"/>
          <w:sz w:val="28"/>
          <w:szCs w:val="28"/>
        </w:rPr>
        <w:t xml:space="preserve"> 本基金会出纳负责保管《接受捐赠统一收据》、支票</w:t>
      </w:r>
      <w:r>
        <w:rPr>
          <w:rFonts w:ascii="仿宋" w:hAnsi="仿宋" w:eastAsia="仿宋" w:cs="仿宋"/>
          <w:spacing w:val="3"/>
          <w:sz w:val="28"/>
          <w:szCs w:val="28"/>
        </w:rPr>
        <w:t xml:space="preserve"> </w:t>
      </w:r>
      <w:r>
        <w:rPr>
          <w:rFonts w:ascii="仿宋" w:hAnsi="仿宋" w:eastAsia="仿宋" w:cs="仿宋"/>
          <w:spacing w:val="-1"/>
          <w:sz w:val="28"/>
          <w:szCs w:val="28"/>
        </w:rPr>
        <w:t>等各类票据，并做好辅助记录。票据存根按</w:t>
      </w:r>
      <w:r>
        <w:rPr>
          <w:rFonts w:ascii="仿宋" w:hAnsi="仿宋" w:eastAsia="仿宋" w:cs="仿宋"/>
          <w:spacing w:val="-2"/>
          <w:sz w:val="28"/>
          <w:szCs w:val="28"/>
        </w:rPr>
        <w:t>照《会计档案管理办法》</w:t>
      </w:r>
      <w:r>
        <w:rPr>
          <w:rFonts w:ascii="仿宋" w:hAnsi="仿宋" w:eastAsia="仿宋" w:cs="仿宋"/>
          <w:sz w:val="28"/>
          <w:szCs w:val="28"/>
        </w:rPr>
        <w:t xml:space="preserve"> </w:t>
      </w:r>
      <w:r>
        <w:rPr>
          <w:rFonts w:ascii="仿宋" w:hAnsi="仿宋" w:eastAsia="仿宋" w:cs="仿宋"/>
          <w:spacing w:val="-3"/>
          <w:sz w:val="28"/>
          <w:szCs w:val="28"/>
        </w:rPr>
        <w:t>的规定保管，不得随意销毁。</w:t>
      </w:r>
    </w:p>
    <w:p w14:paraId="43517CA4">
      <w:pPr>
        <w:spacing w:before="50" w:line="222" w:lineRule="auto"/>
        <w:ind w:left="2422"/>
        <w:rPr>
          <w:rFonts w:ascii="黑体" w:hAnsi="黑体" w:eastAsia="黑体" w:cs="黑体"/>
          <w:sz w:val="28"/>
          <w:szCs w:val="28"/>
        </w:rPr>
      </w:pPr>
      <w:r>
        <w:rPr>
          <w:rFonts w:ascii="黑体" w:hAnsi="黑体" w:eastAsia="黑体" w:cs="黑体"/>
          <w:b/>
          <w:bCs/>
          <w:spacing w:val="-3"/>
          <w:sz w:val="28"/>
          <w:szCs w:val="28"/>
        </w:rPr>
        <w:t>第二十章</w:t>
      </w:r>
      <w:r>
        <w:rPr>
          <w:rFonts w:ascii="黑体" w:hAnsi="黑体" w:eastAsia="黑体" w:cs="黑体"/>
          <w:spacing w:val="-3"/>
          <w:sz w:val="28"/>
          <w:szCs w:val="28"/>
        </w:rPr>
        <w:t xml:space="preserve"> </w:t>
      </w:r>
      <w:r>
        <w:rPr>
          <w:rFonts w:ascii="黑体" w:hAnsi="黑体" w:eastAsia="黑体" w:cs="黑体"/>
          <w:b/>
          <w:bCs/>
          <w:spacing w:val="-3"/>
          <w:sz w:val="28"/>
          <w:szCs w:val="28"/>
        </w:rPr>
        <w:t>成本（费用）管理</w:t>
      </w:r>
    </w:p>
    <w:p w14:paraId="7CF110DD">
      <w:pPr>
        <w:spacing w:before="222" w:line="362" w:lineRule="auto"/>
        <w:ind w:left="32" w:right="101" w:firstLine="571"/>
        <w:rPr>
          <w:rFonts w:ascii="仿宋" w:hAnsi="仿宋" w:eastAsia="仿宋" w:cs="仿宋"/>
          <w:sz w:val="28"/>
          <w:szCs w:val="28"/>
        </w:rPr>
      </w:pPr>
      <w:r>
        <w:rPr>
          <w:rFonts w:ascii="仿宋" w:hAnsi="仿宋" w:eastAsia="仿宋" w:cs="仿宋"/>
          <w:b/>
          <w:bCs/>
          <w:sz w:val="28"/>
          <w:szCs w:val="28"/>
        </w:rPr>
        <w:t>第六十一条</w:t>
      </w:r>
      <w:r>
        <w:rPr>
          <w:rFonts w:ascii="仿宋" w:hAnsi="仿宋" w:eastAsia="仿宋" w:cs="仿宋"/>
          <w:sz w:val="28"/>
          <w:szCs w:val="28"/>
        </w:rPr>
        <w:t xml:space="preserve"> 成本核算的基本任务是反映项目管理、执行和服务 </w:t>
      </w:r>
      <w:r>
        <w:rPr>
          <w:rFonts w:ascii="仿宋" w:hAnsi="仿宋" w:eastAsia="仿宋" w:cs="仿宋"/>
          <w:spacing w:val="-4"/>
          <w:sz w:val="28"/>
          <w:szCs w:val="28"/>
        </w:rPr>
        <w:t>过程的各项耗费，并结合预测、计划、控制、分析和考核，合理安排</w:t>
      </w:r>
      <w:r>
        <w:rPr>
          <w:rFonts w:ascii="仿宋" w:hAnsi="仿宋" w:eastAsia="仿宋" w:cs="仿宋"/>
          <w:spacing w:val="7"/>
          <w:sz w:val="28"/>
          <w:szCs w:val="28"/>
        </w:rPr>
        <w:t xml:space="preserve"> </w:t>
      </w:r>
      <w:r>
        <w:rPr>
          <w:rFonts w:ascii="仿宋" w:hAnsi="仿宋" w:eastAsia="仿宋" w:cs="仿宋"/>
          <w:spacing w:val="-5"/>
          <w:sz w:val="28"/>
          <w:szCs w:val="28"/>
        </w:rPr>
        <w:t>使用人力、物力、财力，降低成本（费用</w:t>
      </w:r>
      <w:r>
        <w:rPr>
          <w:rFonts w:ascii="仿宋" w:hAnsi="仿宋" w:eastAsia="仿宋" w:cs="仿宋"/>
          <w:spacing w:val="12"/>
          <w:sz w:val="28"/>
          <w:szCs w:val="28"/>
        </w:rPr>
        <w:t>），</w:t>
      </w:r>
      <w:r>
        <w:rPr>
          <w:rFonts w:ascii="仿宋" w:hAnsi="仿宋" w:eastAsia="仿宋" w:cs="仿宋"/>
          <w:spacing w:val="-5"/>
          <w:sz w:val="28"/>
          <w:szCs w:val="28"/>
        </w:rPr>
        <w:t>改善项目管理，为慈善</w:t>
      </w:r>
      <w:r>
        <w:rPr>
          <w:rFonts w:ascii="仿宋" w:hAnsi="仿宋" w:eastAsia="仿宋" w:cs="仿宋"/>
          <w:sz w:val="28"/>
          <w:szCs w:val="28"/>
        </w:rPr>
        <w:t xml:space="preserve"> </w:t>
      </w:r>
      <w:r>
        <w:rPr>
          <w:rFonts w:ascii="仿宋" w:hAnsi="仿宋" w:eastAsia="仿宋" w:cs="仿宋"/>
          <w:spacing w:val="-2"/>
          <w:sz w:val="28"/>
          <w:szCs w:val="28"/>
        </w:rPr>
        <w:t>事业和公益事业发展建立良好的基础。</w:t>
      </w:r>
    </w:p>
    <w:p w14:paraId="1EFA7762">
      <w:pPr>
        <w:spacing w:before="45" w:line="359" w:lineRule="auto"/>
        <w:ind w:left="34" w:firstLine="569"/>
        <w:rPr>
          <w:rFonts w:ascii="仿宋" w:hAnsi="仿宋" w:eastAsia="仿宋" w:cs="仿宋"/>
          <w:sz w:val="28"/>
          <w:szCs w:val="28"/>
        </w:rPr>
      </w:pPr>
      <w:r>
        <w:rPr>
          <w:rFonts w:ascii="仿宋" w:hAnsi="仿宋" w:eastAsia="仿宋" w:cs="仿宋"/>
          <w:b/>
          <w:bCs/>
          <w:spacing w:val="1"/>
          <w:sz w:val="28"/>
          <w:szCs w:val="28"/>
        </w:rPr>
        <w:t>第六十二条</w:t>
      </w:r>
      <w:r>
        <w:rPr>
          <w:rFonts w:ascii="仿宋" w:hAnsi="仿宋" w:eastAsia="仿宋" w:cs="仿宋"/>
          <w:spacing w:val="1"/>
          <w:sz w:val="28"/>
          <w:szCs w:val="28"/>
        </w:rPr>
        <w:t xml:space="preserve"> 成本（费用）一般包括业务活动成本、管理费用、</w:t>
      </w:r>
      <w:r>
        <w:rPr>
          <w:rFonts w:ascii="仿宋" w:hAnsi="仿宋" w:eastAsia="仿宋" w:cs="仿宋"/>
          <w:spacing w:val="11"/>
          <w:sz w:val="28"/>
          <w:szCs w:val="28"/>
        </w:rPr>
        <w:t xml:space="preserve"> </w:t>
      </w:r>
      <w:r>
        <w:rPr>
          <w:rFonts w:ascii="仿宋" w:hAnsi="仿宋" w:eastAsia="仿宋" w:cs="仿宋"/>
          <w:spacing w:val="-4"/>
          <w:sz w:val="28"/>
          <w:szCs w:val="28"/>
        </w:rPr>
        <w:t>筹资费用和其他费用等。本基金会根据《民间非营利会计制度》制定</w:t>
      </w:r>
      <w:r>
        <w:rPr>
          <w:rFonts w:ascii="仿宋" w:hAnsi="仿宋" w:eastAsia="仿宋" w:cs="仿宋"/>
          <w:spacing w:val="4"/>
          <w:sz w:val="28"/>
          <w:szCs w:val="28"/>
        </w:rPr>
        <w:t xml:space="preserve"> </w:t>
      </w:r>
      <w:r>
        <w:rPr>
          <w:rFonts w:ascii="仿宋" w:hAnsi="仿宋" w:eastAsia="仿宋" w:cs="仿宋"/>
          <w:spacing w:val="-5"/>
          <w:sz w:val="28"/>
          <w:szCs w:val="28"/>
        </w:rPr>
        <w:t>相应的.成本费用核算办法，建立和健全项目成本（费用）核算制度。</w:t>
      </w:r>
    </w:p>
    <w:p w14:paraId="4BF13185">
      <w:pPr>
        <w:spacing w:before="43" w:line="359" w:lineRule="auto"/>
        <w:ind w:left="32" w:right="20" w:firstLine="571"/>
        <w:rPr>
          <w:rFonts w:ascii="仿宋" w:hAnsi="仿宋" w:eastAsia="仿宋" w:cs="仿宋"/>
          <w:sz w:val="28"/>
          <w:szCs w:val="28"/>
        </w:rPr>
      </w:pPr>
      <w:r>
        <w:rPr>
          <w:rFonts w:ascii="仿宋" w:hAnsi="仿宋" w:eastAsia="仿宋" w:cs="仿宋"/>
          <w:b/>
          <w:bCs/>
          <w:sz w:val="28"/>
          <w:szCs w:val="28"/>
        </w:rPr>
        <w:t>第六十三条</w:t>
      </w:r>
      <w:r>
        <w:rPr>
          <w:rFonts w:ascii="仿宋" w:hAnsi="仿宋" w:eastAsia="仿宋" w:cs="仿宋"/>
          <w:sz w:val="28"/>
          <w:szCs w:val="28"/>
        </w:rPr>
        <w:t xml:space="preserve"> 有关成本（费用）核算的原始记录、凭证、帐、费 </w:t>
      </w:r>
      <w:r>
        <w:rPr>
          <w:rFonts w:ascii="仿宋" w:hAnsi="仿宋" w:eastAsia="仿宋" w:cs="仿宋"/>
          <w:spacing w:val="-10"/>
          <w:sz w:val="28"/>
          <w:szCs w:val="28"/>
        </w:rPr>
        <w:t>用汇总和分配表等资料，内容必须完整、真实，记载和编制必须</w:t>
      </w:r>
      <w:r>
        <w:rPr>
          <w:rFonts w:ascii="仿宋" w:hAnsi="仿宋" w:eastAsia="仿宋" w:cs="仿宋"/>
          <w:spacing w:val="-11"/>
          <w:sz w:val="28"/>
          <w:szCs w:val="28"/>
        </w:rPr>
        <w:t>及时，</w:t>
      </w:r>
      <w:r>
        <w:rPr>
          <w:rFonts w:ascii="仿宋" w:hAnsi="仿宋" w:eastAsia="仿宋" w:cs="仿宋"/>
          <w:sz w:val="28"/>
          <w:szCs w:val="28"/>
        </w:rPr>
        <w:t xml:space="preserve"> </w:t>
      </w:r>
      <w:r>
        <w:rPr>
          <w:rFonts w:ascii="仿宋" w:hAnsi="仿宋" w:eastAsia="仿宋" w:cs="仿宋"/>
          <w:spacing w:val="-1"/>
          <w:sz w:val="28"/>
          <w:szCs w:val="28"/>
        </w:rPr>
        <w:t>必须如实反映项目在管理和服务过程中的各种耗费。</w:t>
      </w:r>
    </w:p>
    <w:p w14:paraId="2F4AC0C8">
      <w:pPr>
        <w:spacing w:before="49" w:line="222" w:lineRule="auto"/>
        <w:ind w:left="603"/>
        <w:rPr>
          <w:rFonts w:ascii="仿宋" w:hAnsi="仿宋" w:eastAsia="仿宋" w:cs="仿宋"/>
          <w:sz w:val="28"/>
          <w:szCs w:val="28"/>
        </w:rPr>
      </w:pPr>
      <w:r>
        <w:rPr>
          <w:rFonts w:ascii="仿宋" w:hAnsi="仿宋" w:eastAsia="仿宋" w:cs="仿宋"/>
          <w:b/>
          <w:bCs/>
          <w:spacing w:val="-2"/>
          <w:sz w:val="28"/>
          <w:szCs w:val="28"/>
        </w:rPr>
        <w:t>第六十四条</w:t>
      </w:r>
      <w:r>
        <w:rPr>
          <w:rFonts w:ascii="仿宋" w:hAnsi="仿宋" w:eastAsia="仿宋" w:cs="仿宋"/>
          <w:spacing w:val="51"/>
          <w:sz w:val="28"/>
          <w:szCs w:val="28"/>
        </w:rPr>
        <w:t xml:space="preserve"> </w:t>
      </w:r>
      <w:r>
        <w:rPr>
          <w:rFonts w:ascii="仿宋" w:hAnsi="仿宋" w:eastAsia="仿宋" w:cs="仿宋"/>
          <w:spacing w:val="-2"/>
          <w:sz w:val="28"/>
          <w:szCs w:val="28"/>
        </w:rPr>
        <w:t>因项目策划、信息沟通、捐赠服务及捐款筹集等，</w:t>
      </w:r>
    </w:p>
    <w:p w14:paraId="6964B024">
      <w:pPr>
        <w:spacing w:line="222" w:lineRule="auto"/>
        <w:rPr>
          <w:rFonts w:ascii="仿宋" w:hAnsi="仿宋" w:eastAsia="仿宋" w:cs="仿宋"/>
          <w:sz w:val="28"/>
          <w:szCs w:val="28"/>
        </w:rPr>
        <w:sectPr>
          <w:pgSz w:w="11906" w:h="16839"/>
          <w:pgMar w:top="400" w:right="1698" w:bottom="913" w:left="1785" w:header="0" w:footer="850" w:gutter="0"/>
          <w:pgNumType w:fmt="decimal"/>
          <w:cols w:space="720" w:num="1"/>
        </w:sectPr>
      </w:pPr>
    </w:p>
    <w:p w14:paraId="418C568E">
      <w:pPr>
        <w:spacing w:line="287" w:lineRule="auto"/>
        <w:rPr>
          <w:rFonts w:ascii="Arial"/>
          <w:sz w:val="21"/>
        </w:rPr>
      </w:pPr>
    </w:p>
    <w:p w14:paraId="292BE889">
      <w:pPr>
        <w:spacing w:line="288" w:lineRule="auto"/>
        <w:rPr>
          <w:rFonts w:ascii="Arial"/>
          <w:sz w:val="21"/>
        </w:rPr>
      </w:pPr>
    </w:p>
    <w:p w14:paraId="575B2F51">
      <w:pPr>
        <w:spacing w:line="288" w:lineRule="auto"/>
        <w:rPr>
          <w:rFonts w:ascii="Arial"/>
          <w:sz w:val="21"/>
        </w:rPr>
      </w:pPr>
    </w:p>
    <w:p w14:paraId="53C0F8A1">
      <w:pPr>
        <w:spacing w:line="288" w:lineRule="auto"/>
        <w:rPr>
          <w:rFonts w:ascii="Arial"/>
          <w:sz w:val="21"/>
        </w:rPr>
      </w:pPr>
    </w:p>
    <w:p w14:paraId="2309DCBA">
      <w:pPr>
        <w:spacing w:before="91" w:line="361" w:lineRule="auto"/>
        <w:ind w:left="32" w:right="45" w:firstLine="10"/>
        <w:jc w:val="both"/>
        <w:rPr>
          <w:rFonts w:ascii="仿宋" w:hAnsi="仿宋" w:eastAsia="仿宋" w:cs="仿宋"/>
          <w:sz w:val="28"/>
          <w:szCs w:val="28"/>
        </w:rPr>
      </w:pPr>
      <w:r>
        <w:rPr>
          <w:rFonts w:ascii="仿宋" w:hAnsi="仿宋" w:eastAsia="仿宋" w:cs="仿宋"/>
          <w:spacing w:val="-4"/>
          <w:sz w:val="28"/>
          <w:szCs w:val="28"/>
        </w:rPr>
        <w:t>需向捐赠人提供项目或活动成本估算，由财务人员与相关项</w:t>
      </w:r>
      <w:r>
        <w:rPr>
          <w:rFonts w:ascii="仿宋" w:hAnsi="仿宋" w:eastAsia="仿宋" w:cs="仿宋"/>
          <w:spacing w:val="-5"/>
          <w:sz w:val="28"/>
          <w:szCs w:val="28"/>
        </w:rPr>
        <w:t>目管理人</w:t>
      </w:r>
      <w:r>
        <w:rPr>
          <w:rFonts w:ascii="仿宋" w:hAnsi="仿宋" w:eastAsia="仿宋" w:cs="仿宋"/>
          <w:sz w:val="28"/>
          <w:szCs w:val="28"/>
        </w:rPr>
        <w:t xml:space="preserve"> </w:t>
      </w:r>
      <w:r>
        <w:rPr>
          <w:rFonts w:ascii="仿宋" w:hAnsi="仿宋" w:eastAsia="仿宋" w:cs="仿宋"/>
          <w:spacing w:val="-4"/>
          <w:sz w:val="28"/>
          <w:szCs w:val="28"/>
        </w:rPr>
        <w:t>员负责。在提交成本估算前，应经秘书长批准。项目成本（费用）估</w:t>
      </w:r>
      <w:r>
        <w:rPr>
          <w:rFonts w:ascii="仿宋" w:hAnsi="仿宋" w:eastAsia="仿宋" w:cs="仿宋"/>
          <w:spacing w:val="7"/>
          <w:sz w:val="28"/>
          <w:szCs w:val="28"/>
        </w:rPr>
        <w:t xml:space="preserve"> </w:t>
      </w:r>
      <w:r>
        <w:rPr>
          <w:rFonts w:ascii="仿宋" w:hAnsi="仿宋" w:eastAsia="仿宋" w:cs="仿宋"/>
          <w:spacing w:val="-2"/>
          <w:sz w:val="28"/>
          <w:szCs w:val="28"/>
        </w:rPr>
        <w:t>算，按照成本核算的原则和方法进行，必须提供可靠的人</w:t>
      </w:r>
      <w:r>
        <w:rPr>
          <w:rFonts w:ascii="仿宋" w:hAnsi="仿宋" w:eastAsia="仿宋" w:cs="仿宋"/>
          <w:spacing w:val="-3"/>
          <w:sz w:val="28"/>
          <w:szCs w:val="28"/>
        </w:rPr>
        <w:t>力、物资、</w:t>
      </w:r>
      <w:r>
        <w:rPr>
          <w:rFonts w:ascii="仿宋" w:hAnsi="仿宋" w:eastAsia="仿宋" w:cs="仿宋"/>
          <w:sz w:val="28"/>
          <w:szCs w:val="28"/>
        </w:rPr>
        <w:t xml:space="preserve"> </w:t>
      </w:r>
      <w:r>
        <w:rPr>
          <w:rFonts w:ascii="仿宋" w:hAnsi="仿宋" w:eastAsia="仿宋" w:cs="仿宋"/>
          <w:spacing w:val="-2"/>
          <w:sz w:val="28"/>
          <w:szCs w:val="28"/>
        </w:rPr>
        <w:t>费用支出的估算依据。</w:t>
      </w:r>
    </w:p>
    <w:p w14:paraId="29E0717C">
      <w:pPr>
        <w:spacing w:before="47" w:line="222" w:lineRule="auto"/>
        <w:ind w:left="2775"/>
        <w:rPr>
          <w:rFonts w:ascii="黑体" w:hAnsi="黑体" w:eastAsia="黑体" w:cs="黑体"/>
          <w:sz w:val="28"/>
          <w:szCs w:val="28"/>
        </w:rPr>
      </w:pPr>
      <w:r>
        <w:rPr>
          <w:rFonts w:ascii="黑体" w:hAnsi="黑体" w:eastAsia="黑体" w:cs="黑体"/>
          <w:b/>
          <w:bCs/>
          <w:spacing w:val="-4"/>
          <w:sz w:val="28"/>
          <w:szCs w:val="28"/>
        </w:rPr>
        <w:t>第二十一章</w:t>
      </w:r>
      <w:r>
        <w:rPr>
          <w:rFonts w:ascii="黑体" w:hAnsi="黑体" w:eastAsia="黑体" w:cs="黑体"/>
          <w:spacing w:val="-4"/>
          <w:sz w:val="28"/>
          <w:szCs w:val="28"/>
        </w:rPr>
        <w:t xml:space="preserve">  </w:t>
      </w:r>
      <w:r>
        <w:rPr>
          <w:rFonts w:ascii="黑体" w:hAnsi="黑体" w:eastAsia="黑体" w:cs="黑体"/>
          <w:b/>
          <w:bCs/>
          <w:spacing w:val="-4"/>
          <w:sz w:val="28"/>
          <w:szCs w:val="28"/>
        </w:rPr>
        <w:t>物资管理</w:t>
      </w:r>
    </w:p>
    <w:p w14:paraId="1135CBE7">
      <w:pPr>
        <w:spacing w:before="222" w:line="359" w:lineRule="auto"/>
        <w:ind w:left="32" w:right="93" w:firstLine="571"/>
        <w:jc w:val="both"/>
        <w:rPr>
          <w:rFonts w:ascii="仿宋" w:hAnsi="仿宋" w:eastAsia="仿宋" w:cs="仿宋"/>
          <w:sz w:val="28"/>
          <w:szCs w:val="28"/>
        </w:rPr>
      </w:pPr>
      <w:r>
        <w:rPr>
          <w:rFonts w:ascii="仿宋" w:hAnsi="仿宋" w:eastAsia="仿宋" w:cs="仿宋"/>
          <w:b/>
          <w:bCs/>
          <w:sz w:val="28"/>
          <w:szCs w:val="28"/>
        </w:rPr>
        <w:t>第六十五条</w:t>
      </w:r>
      <w:r>
        <w:rPr>
          <w:rFonts w:ascii="仿宋" w:hAnsi="仿宋" w:eastAsia="仿宋" w:cs="仿宋"/>
          <w:sz w:val="28"/>
          <w:szCs w:val="28"/>
        </w:rPr>
        <w:t xml:space="preserve"> 物资是资金的实物形态之一。物资管理要贯彻统一 </w:t>
      </w:r>
      <w:r>
        <w:rPr>
          <w:rFonts w:ascii="仿宋" w:hAnsi="仿宋" w:eastAsia="仿宋" w:cs="仿宋"/>
          <w:spacing w:val="-4"/>
          <w:sz w:val="28"/>
          <w:szCs w:val="28"/>
        </w:rPr>
        <w:t>领导、归口管理的原则，既要保证公益慈善事业的需要，又要防止物</w:t>
      </w:r>
      <w:r>
        <w:rPr>
          <w:rFonts w:ascii="仿宋" w:hAnsi="仿宋" w:eastAsia="仿宋" w:cs="仿宋"/>
          <w:spacing w:val="7"/>
          <w:sz w:val="28"/>
          <w:szCs w:val="28"/>
        </w:rPr>
        <w:t xml:space="preserve"> </w:t>
      </w:r>
      <w:r>
        <w:rPr>
          <w:rFonts w:ascii="仿宋" w:hAnsi="仿宋" w:eastAsia="仿宋" w:cs="仿宋"/>
          <w:spacing w:val="-1"/>
          <w:sz w:val="28"/>
          <w:szCs w:val="28"/>
        </w:rPr>
        <w:t>资积压和损失浪费，最大限度地发挥物资的效益。</w:t>
      </w:r>
    </w:p>
    <w:p w14:paraId="254B6222">
      <w:pPr>
        <w:spacing w:before="45" w:line="355" w:lineRule="auto"/>
        <w:ind w:left="31" w:right="93" w:firstLine="572"/>
        <w:rPr>
          <w:rFonts w:ascii="仿宋" w:hAnsi="仿宋" w:eastAsia="仿宋" w:cs="仿宋"/>
          <w:sz w:val="28"/>
          <w:szCs w:val="28"/>
        </w:rPr>
      </w:pPr>
      <w:r>
        <w:rPr>
          <w:rFonts w:ascii="仿宋" w:hAnsi="仿宋" w:eastAsia="仿宋" w:cs="仿宋"/>
          <w:b/>
          <w:bCs/>
          <w:sz w:val="28"/>
          <w:szCs w:val="28"/>
        </w:rPr>
        <w:t>第六十六条</w:t>
      </w:r>
      <w:r>
        <w:rPr>
          <w:rFonts w:ascii="仿宋" w:hAnsi="仿宋" w:eastAsia="仿宋" w:cs="仿宋"/>
          <w:sz w:val="28"/>
          <w:szCs w:val="28"/>
        </w:rPr>
        <w:t xml:space="preserve"> 物资管理包括：固定资产管理、低值易耗品管理和 </w:t>
      </w:r>
      <w:r>
        <w:rPr>
          <w:rFonts w:ascii="仿宋" w:hAnsi="仿宋" w:eastAsia="仿宋" w:cs="仿宋"/>
          <w:spacing w:val="-3"/>
          <w:sz w:val="28"/>
          <w:szCs w:val="28"/>
        </w:rPr>
        <w:t>捐赠物资管理等。</w:t>
      </w:r>
    </w:p>
    <w:p w14:paraId="3884B25E">
      <w:pPr>
        <w:spacing w:before="48" w:line="363" w:lineRule="auto"/>
        <w:ind w:left="34" w:right="93" w:firstLine="569"/>
        <w:jc w:val="both"/>
        <w:rPr>
          <w:rFonts w:ascii="仿宋" w:hAnsi="仿宋" w:eastAsia="仿宋" w:cs="仿宋"/>
          <w:sz w:val="28"/>
          <w:szCs w:val="28"/>
        </w:rPr>
      </w:pPr>
      <w:r>
        <w:rPr>
          <w:rFonts w:ascii="仿宋" w:hAnsi="仿宋" w:eastAsia="仿宋" w:cs="仿宋"/>
          <w:b/>
          <w:bCs/>
          <w:spacing w:val="-2"/>
          <w:sz w:val="28"/>
          <w:szCs w:val="28"/>
        </w:rPr>
        <w:t>第六十七条</w:t>
      </w:r>
      <w:r>
        <w:rPr>
          <w:rFonts w:ascii="仿宋" w:hAnsi="仿宋" w:eastAsia="仿宋" w:cs="仿宋"/>
          <w:spacing w:val="54"/>
          <w:sz w:val="28"/>
          <w:szCs w:val="28"/>
        </w:rPr>
        <w:t xml:space="preserve"> </w:t>
      </w:r>
      <w:r>
        <w:rPr>
          <w:rFonts w:ascii="仿宋" w:hAnsi="仿宋" w:eastAsia="仿宋" w:cs="仿宋"/>
          <w:spacing w:val="-2"/>
          <w:sz w:val="28"/>
          <w:szCs w:val="28"/>
        </w:rPr>
        <w:t>固定资产是用于基金会业务活动，单位价值在二千</w:t>
      </w:r>
      <w:r>
        <w:rPr>
          <w:rFonts w:ascii="仿宋" w:hAnsi="仿宋" w:eastAsia="仿宋" w:cs="仿宋"/>
          <w:sz w:val="28"/>
          <w:szCs w:val="28"/>
        </w:rPr>
        <w:t xml:space="preserve"> </w:t>
      </w:r>
      <w:r>
        <w:rPr>
          <w:rFonts w:ascii="仿宋" w:hAnsi="仿宋" w:eastAsia="仿宋" w:cs="仿宋"/>
          <w:spacing w:val="-4"/>
          <w:sz w:val="28"/>
          <w:szCs w:val="28"/>
        </w:rPr>
        <w:t>元以上、使用年限超过一年的办公设备或其他设施；单位价值虽未达</w:t>
      </w:r>
      <w:r>
        <w:rPr>
          <w:rFonts w:ascii="仿宋" w:hAnsi="仿宋" w:eastAsia="仿宋" w:cs="仿宋"/>
          <w:spacing w:val="4"/>
          <w:sz w:val="28"/>
          <w:szCs w:val="28"/>
        </w:rPr>
        <w:t xml:space="preserve"> </w:t>
      </w:r>
      <w:r>
        <w:rPr>
          <w:rFonts w:ascii="仿宋" w:hAnsi="仿宋" w:eastAsia="仿宋" w:cs="仿宋"/>
          <w:spacing w:val="-4"/>
          <w:sz w:val="28"/>
          <w:szCs w:val="28"/>
        </w:rPr>
        <w:t>到二干元，但使用年限在一年以上的大批同类物资，也应作为固定资</w:t>
      </w:r>
      <w:r>
        <w:rPr>
          <w:rFonts w:ascii="仿宋" w:hAnsi="仿宋" w:eastAsia="仿宋" w:cs="仿宋"/>
          <w:spacing w:val="4"/>
          <w:sz w:val="28"/>
          <w:szCs w:val="28"/>
        </w:rPr>
        <w:t xml:space="preserve"> </w:t>
      </w:r>
      <w:r>
        <w:rPr>
          <w:rFonts w:ascii="仿宋" w:hAnsi="仿宋" w:eastAsia="仿宋" w:cs="仿宋"/>
          <w:spacing w:val="-4"/>
          <w:sz w:val="28"/>
          <w:szCs w:val="28"/>
        </w:rPr>
        <w:t>产管理；单位价值虽已超过二千元，但易损坏、更换频繁的，不作为</w:t>
      </w:r>
      <w:r>
        <w:rPr>
          <w:rFonts w:ascii="仿宋" w:hAnsi="仿宋" w:eastAsia="仿宋" w:cs="仿宋"/>
          <w:spacing w:val="4"/>
          <w:sz w:val="28"/>
          <w:szCs w:val="28"/>
        </w:rPr>
        <w:t xml:space="preserve"> </w:t>
      </w:r>
      <w:r>
        <w:rPr>
          <w:rFonts w:ascii="仿宋" w:hAnsi="仿宋" w:eastAsia="仿宋" w:cs="仿宋"/>
          <w:spacing w:val="-3"/>
          <w:sz w:val="28"/>
          <w:szCs w:val="28"/>
        </w:rPr>
        <w:t>固定资产管理。</w:t>
      </w:r>
    </w:p>
    <w:p w14:paraId="70820937">
      <w:pPr>
        <w:spacing w:before="44" w:line="295" w:lineRule="auto"/>
        <w:ind w:left="32" w:right="93" w:firstLine="420"/>
        <w:rPr>
          <w:rFonts w:ascii="仿宋" w:hAnsi="仿宋" w:eastAsia="仿宋" w:cs="仿宋"/>
          <w:sz w:val="28"/>
          <w:szCs w:val="28"/>
        </w:rPr>
      </w:pPr>
      <w:r>
        <w:rPr>
          <w:rFonts w:ascii="仿宋" w:hAnsi="仿宋" w:eastAsia="仿宋" w:cs="仿宋"/>
          <w:spacing w:val="1"/>
          <w:sz w:val="28"/>
          <w:szCs w:val="28"/>
        </w:rPr>
        <w:t>（一）固定资产按用途分类管理，并建立验收、领发、保管</w:t>
      </w:r>
      <w:r>
        <w:rPr>
          <w:rFonts w:ascii="仿宋" w:hAnsi="仿宋" w:eastAsia="仿宋" w:cs="仿宋"/>
          <w:sz w:val="28"/>
          <w:szCs w:val="28"/>
        </w:rPr>
        <w:t xml:space="preserve">、调 </w:t>
      </w:r>
      <w:r>
        <w:rPr>
          <w:rFonts w:ascii="仿宋" w:hAnsi="仿宋" w:eastAsia="仿宋" w:cs="仿宋"/>
          <w:spacing w:val="-1"/>
          <w:sz w:val="28"/>
          <w:szCs w:val="28"/>
        </w:rPr>
        <w:t>拨、登记、折旧日、检查和维修制度，做到帐帐相符，帐实相符。</w:t>
      </w:r>
    </w:p>
    <w:p w14:paraId="00B43214">
      <w:pPr>
        <w:spacing w:before="223" w:line="296" w:lineRule="auto"/>
        <w:ind w:left="42" w:right="93" w:firstLine="410"/>
        <w:rPr>
          <w:rFonts w:ascii="仿宋" w:hAnsi="仿宋" w:eastAsia="仿宋" w:cs="仿宋"/>
          <w:sz w:val="28"/>
          <w:szCs w:val="28"/>
        </w:rPr>
      </w:pPr>
      <w:r>
        <w:rPr>
          <w:rFonts w:ascii="仿宋" w:hAnsi="仿宋" w:eastAsia="仿宋" w:cs="仿宋"/>
          <w:spacing w:val="1"/>
          <w:sz w:val="28"/>
          <w:szCs w:val="28"/>
        </w:rPr>
        <w:t>（二）注重发挥固定资产的效益，购（建）固定资产特别是</w:t>
      </w:r>
      <w:r>
        <w:rPr>
          <w:rFonts w:ascii="仿宋" w:hAnsi="仿宋" w:eastAsia="仿宋" w:cs="仿宋"/>
          <w:sz w:val="28"/>
          <w:szCs w:val="28"/>
        </w:rPr>
        <w:t xml:space="preserve">房产 </w:t>
      </w:r>
      <w:r>
        <w:rPr>
          <w:rFonts w:ascii="仿宋" w:hAnsi="仿宋" w:eastAsia="仿宋" w:cs="仿宋"/>
          <w:spacing w:val="-1"/>
          <w:sz w:val="28"/>
          <w:szCs w:val="28"/>
        </w:rPr>
        <w:t>等，必须进行可行性论证，提出两种以上方案，择优</w:t>
      </w:r>
      <w:r>
        <w:rPr>
          <w:rFonts w:ascii="仿宋" w:hAnsi="仿宋" w:eastAsia="仿宋" w:cs="仿宋"/>
          <w:spacing w:val="-2"/>
          <w:sz w:val="28"/>
          <w:szCs w:val="28"/>
        </w:rPr>
        <w:t>选用。</w:t>
      </w:r>
    </w:p>
    <w:p w14:paraId="1DCA5A00">
      <w:pPr>
        <w:spacing w:before="223" w:line="321" w:lineRule="auto"/>
        <w:ind w:left="38" w:right="93" w:firstLine="414"/>
        <w:rPr>
          <w:rFonts w:ascii="仿宋" w:hAnsi="仿宋" w:eastAsia="仿宋" w:cs="仿宋"/>
          <w:sz w:val="28"/>
          <w:szCs w:val="28"/>
        </w:rPr>
      </w:pPr>
      <w:r>
        <w:rPr>
          <w:rFonts w:ascii="仿宋" w:hAnsi="仿宋" w:eastAsia="仿宋" w:cs="仿宋"/>
          <w:spacing w:val="-4"/>
          <w:sz w:val="28"/>
          <w:szCs w:val="28"/>
        </w:rPr>
        <w:t>（三） 加强对固定资产报废、处理的管理，确属不能或不宜使用</w:t>
      </w:r>
      <w:r>
        <w:rPr>
          <w:rFonts w:ascii="仿宋" w:hAnsi="仿宋" w:eastAsia="仿宋" w:cs="仿宋"/>
          <w:spacing w:val="2"/>
          <w:sz w:val="28"/>
          <w:szCs w:val="28"/>
        </w:rPr>
        <w:t xml:space="preserve"> </w:t>
      </w:r>
      <w:r>
        <w:rPr>
          <w:rFonts w:ascii="仿宋" w:hAnsi="仿宋" w:eastAsia="仿宋" w:cs="仿宋"/>
          <w:spacing w:val="-4"/>
          <w:sz w:val="28"/>
          <w:szCs w:val="28"/>
        </w:rPr>
        <w:t>的固定资产，可以作报废处理；确属闲置不需要的固定资产，应按规</w:t>
      </w:r>
      <w:r>
        <w:rPr>
          <w:rFonts w:ascii="仿宋" w:hAnsi="仿宋" w:eastAsia="仿宋" w:cs="仿宋"/>
          <w:spacing w:val="1"/>
          <w:sz w:val="28"/>
          <w:szCs w:val="28"/>
        </w:rPr>
        <w:t xml:space="preserve"> </w:t>
      </w:r>
      <w:r>
        <w:rPr>
          <w:rFonts w:ascii="仿宋" w:hAnsi="仿宋" w:eastAsia="仿宋" w:cs="仿宋"/>
          <w:spacing w:val="-2"/>
          <w:sz w:val="28"/>
          <w:szCs w:val="28"/>
        </w:rPr>
        <w:t>定的程序处理，避免积压，造成损失浪费。</w:t>
      </w:r>
    </w:p>
    <w:p w14:paraId="1C2AF211">
      <w:pPr>
        <w:spacing w:before="221" w:line="353" w:lineRule="auto"/>
        <w:ind w:left="38" w:firstLine="565"/>
        <w:rPr>
          <w:rFonts w:ascii="仿宋" w:hAnsi="仿宋" w:eastAsia="仿宋" w:cs="仿宋"/>
          <w:sz w:val="28"/>
          <w:szCs w:val="28"/>
        </w:rPr>
      </w:pPr>
      <w:r>
        <w:rPr>
          <w:rFonts w:ascii="仿宋" w:hAnsi="仿宋" w:eastAsia="仿宋" w:cs="仿宋"/>
          <w:b/>
          <w:bCs/>
          <w:sz w:val="28"/>
          <w:szCs w:val="28"/>
        </w:rPr>
        <w:t>第六十八条</w:t>
      </w:r>
      <w:r>
        <w:rPr>
          <w:rFonts w:ascii="仿宋" w:hAnsi="仿宋" w:eastAsia="仿宋" w:cs="仿宋"/>
          <w:sz w:val="28"/>
          <w:szCs w:val="28"/>
        </w:rPr>
        <w:t xml:space="preserve"> 低值易耗品是指单位价值较低、容易损耗、不够固 </w:t>
      </w:r>
      <w:r>
        <w:rPr>
          <w:rFonts w:ascii="仿宋" w:hAnsi="仿宋" w:eastAsia="仿宋" w:cs="仿宋"/>
          <w:spacing w:val="-10"/>
          <w:sz w:val="28"/>
          <w:szCs w:val="28"/>
        </w:rPr>
        <w:t>定资产标准的各种工器具以及办公用品等。低值易耗品的购买、验收、</w:t>
      </w:r>
    </w:p>
    <w:p w14:paraId="30DEA5A5">
      <w:pPr>
        <w:spacing w:line="353" w:lineRule="auto"/>
        <w:rPr>
          <w:rFonts w:ascii="仿宋" w:hAnsi="仿宋" w:eastAsia="仿宋" w:cs="仿宋"/>
          <w:sz w:val="28"/>
          <w:szCs w:val="28"/>
        </w:rPr>
        <w:sectPr>
          <w:pgSz w:w="11906" w:h="16839"/>
          <w:pgMar w:top="400" w:right="1705" w:bottom="913" w:left="1785" w:header="0" w:footer="850" w:gutter="0"/>
          <w:pgNumType w:fmt="decimal"/>
          <w:cols w:space="720" w:num="1"/>
        </w:sectPr>
      </w:pPr>
    </w:p>
    <w:p w14:paraId="6040C1B0">
      <w:pPr>
        <w:spacing w:line="287" w:lineRule="auto"/>
        <w:rPr>
          <w:rFonts w:ascii="Arial"/>
          <w:sz w:val="21"/>
        </w:rPr>
      </w:pPr>
    </w:p>
    <w:p w14:paraId="71A97DB4">
      <w:pPr>
        <w:spacing w:line="288" w:lineRule="auto"/>
        <w:rPr>
          <w:rFonts w:ascii="Arial"/>
          <w:sz w:val="21"/>
        </w:rPr>
      </w:pPr>
    </w:p>
    <w:p w14:paraId="3BFD870D">
      <w:pPr>
        <w:spacing w:line="288" w:lineRule="auto"/>
        <w:rPr>
          <w:rFonts w:ascii="Arial"/>
          <w:sz w:val="21"/>
        </w:rPr>
      </w:pPr>
    </w:p>
    <w:p w14:paraId="2B97FD1C">
      <w:pPr>
        <w:spacing w:line="288" w:lineRule="auto"/>
        <w:rPr>
          <w:rFonts w:ascii="Arial"/>
          <w:sz w:val="21"/>
        </w:rPr>
      </w:pPr>
    </w:p>
    <w:p w14:paraId="051DD363">
      <w:pPr>
        <w:spacing w:before="91" w:line="352" w:lineRule="auto"/>
        <w:ind w:left="35" w:right="13" w:hanging="1"/>
        <w:rPr>
          <w:rFonts w:ascii="仿宋" w:hAnsi="仿宋" w:eastAsia="仿宋" w:cs="仿宋"/>
          <w:sz w:val="28"/>
          <w:szCs w:val="28"/>
        </w:rPr>
      </w:pPr>
      <w:r>
        <w:rPr>
          <w:rFonts w:ascii="仿宋" w:hAnsi="仿宋" w:eastAsia="仿宋" w:cs="仿宋"/>
          <w:spacing w:val="-4"/>
          <w:sz w:val="28"/>
          <w:szCs w:val="28"/>
        </w:rPr>
        <w:t>进出库、保管等须审批程序规范，管理控制科学。在保证工作需要的</w:t>
      </w:r>
      <w:r>
        <w:rPr>
          <w:rFonts w:ascii="仿宋" w:hAnsi="仿宋" w:eastAsia="仿宋" w:cs="仿宋"/>
          <w:spacing w:val="4"/>
          <w:sz w:val="28"/>
          <w:szCs w:val="28"/>
        </w:rPr>
        <w:t xml:space="preserve"> </w:t>
      </w:r>
      <w:r>
        <w:rPr>
          <w:rFonts w:ascii="仿宋" w:hAnsi="仿宋" w:eastAsia="仿宋" w:cs="仿宋"/>
          <w:spacing w:val="-1"/>
          <w:sz w:val="28"/>
          <w:szCs w:val="28"/>
        </w:rPr>
        <w:t>前提下，降低材料和低值易耗品的库存和消耗。</w:t>
      </w:r>
    </w:p>
    <w:p w14:paraId="40973E4D">
      <w:pPr>
        <w:spacing w:before="49" w:line="222" w:lineRule="auto"/>
        <w:ind w:left="2775"/>
        <w:rPr>
          <w:rFonts w:ascii="黑体" w:hAnsi="黑体" w:eastAsia="黑体" w:cs="黑体"/>
          <w:sz w:val="28"/>
          <w:szCs w:val="28"/>
        </w:rPr>
      </w:pPr>
      <w:r>
        <w:rPr>
          <w:rFonts w:ascii="黑体" w:hAnsi="黑体" w:eastAsia="黑体" w:cs="黑体"/>
          <w:b/>
          <w:bCs/>
          <w:spacing w:val="-4"/>
          <w:sz w:val="28"/>
          <w:szCs w:val="28"/>
        </w:rPr>
        <w:t>第二十二章</w:t>
      </w:r>
      <w:r>
        <w:rPr>
          <w:rFonts w:ascii="黑体" w:hAnsi="黑体" w:eastAsia="黑体" w:cs="黑体"/>
          <w:spacing w:val="-4"/>
          <w:sz w:val="28"/>
          <w:szCs w:val="28"/>
        </w:rPr>
        <w:t xml:space="preserve">  </w:t>
      </w:r>
      <w:r>
        <w:rPr>
          <w:rFonts w:ascii="黑体" w:hAnsi="黑体" w:eastAsia="黑体" w:cs="黑体"/>
          <w:b/>
          <w:bCs/>
          <w:spacing w:val="-4"/>
          <w:sz w:val="28"/>
          <w:szCs w:val="28"/>
        </w:rPr>
        <w:t>资产管理</w:t>
      </w:r>
    </w:p>
    <w:p w14:paraId="1607D33E">
      <w:pPr>
        <w:spacing w:before="225" w:line="358" w:lineRule="auto"/>
        <w:ind w:left="31" w:right="13" w:firstLine="572"/>
        <w:jc w:val="both"/>
        <w:rPr>
          <w:rFonts w:ascii="仿宋" w:hAnsi="仿宋" w:eastAsia="仿宋" w:cs="仿宋"/>
          <w:sz w:val="28"/>
          <w:szCs w:val="28"/>
        </w:rPr>
      </w:pPr>
      <w:r>
        <w:rPr>
          <w:rFonts w:ascii="仿宋" w:hAnsi="仿宋" w:eastAsia="仿宋" w:cs="仿宋"/>
          <w:b/>
          <w:bCs/>
          <w:sz w:val="28"/>
          <w:szCs w:val="28"/>
        </w:rPr>
        <w:t>第六十九条</w:t>
      </w:r>
      <w:r>
        <w:rPr>
          <w:rFonts w:ascii="仿宋" w:hAnsi="仿宋" w:eastAsia="仿宋" w:cs="仿宋"/>
          <w:sz w:val="28"/>
          <w:szCs w:val="28"/>
        </w:rPr>
        <w:t xml:space="preserve"> 捐赠物资是基金会募集的非货币性捐赠资产，包括 </w:t>
      </w:r>
      <w:r>
        <w:rPr>
          <w:rFonts w:ascii="仿宋" w:hAnsi="仿宋" w:eastAsia="仿宋" w:cs="仿宋"/>
          <w:spacing w:val="-4"/>
          <w:sz w:val="28"/>
          <w:szCs w:val="28"/>
        </w:rPr>
        <w:t>教学用品、图书、药品、保健品、医疗器械、粮食、食品、帐篷、棉</w:t>
      </w:r>
      <w:r>
        <w:rPr>
          <w:rFonts w:ascii="仿宋" w:hAnsi="仿宋" w:eastAsia="仿宋" w:cs="仿宋"/>
          <w:spacing w:val="7"/>
          <w:sz w:val="28"/>
          <w:szCs w:val="28"/>
        </w:rPr>
        <w:t xml:space="preserve"> </w:t>
      </w:r>
      <w:r>
        <w:rPr>
          <w:rFonts w:ascii="仿宋" w:hAnsi="仿宋" w:eastAsia="仿宋" w:cs="仿宋"/>
          <w:spacing w:val="-1"/>
          <w:sz w:val="28"/>
          <w:szCs w:val="28"/>
        </w:rPr>
        <w:t>被、衣物、玩具等物资。捐赠物资管理办法另行制定。</w:t>
      </w:r>
    </w:p>
    <w:p w14:paraId="7B6BAF87">
      <w:pPr>
        <w:spacing w:before="49" w:line="222" w:lineRule="auto"/>
        <w:ind w:left="2072"/>
        <w:rPr>
          <w:rFonts w:ascii="黑体" w:hAnsi="黑体" w:eastAsia="黑体" w:cs="黑体"/>
          <w:sz w:val="28"/>
          <w:szCs w:val="28"/>
        </w:rPr>
      </w:pPr>
      <w:r>
        <w:rPr>
          <w:rFonts w:ascii="黑体" w:hAnsi="黑体" w:eastAsia="黑体" w:cs="黑体"/>
          <w:b/>
          <w:bCs/>
          <w:spacing w:val="-3"/>
          <w:sz w:val="28"/>
          <w:szCs w:val="28"/>
        </w:rPr>
        <w:t>第二十三章</w:t>
      </w:r>
      <w:r>
        <w:rPr>
          <w:rFonts w:ascii="黑体" w:hAnsi="黑体" w:eastAsia="黑体" w:cs="黑体"/>
          <w:spacing w:val="-3"/>
          <w:sz w:val="28"/>
          <w:szCs w:val="28"/>
        </w:rPr>
        <w:t xml:space="preserve">  </w:t>
      </w:r>
      <w:r>
        <w:rPr>
          <w:rFonts w:ascii="黑体" w:hAnsi="黑体" w:eastAsia="黑体" w:cs="黑体"/>
          <w:b/>
          <w:bCs/>
          <w:spacing w:val="-3"/>
          <w:sz w:val="28"/>
          <w:szCs w:val="28"/>
        </w:rPr>
        <w:t>财务分析与财务监督</w:t>
      </w:r>
    </w:p>
    <w:p w14:paraId="3E10C6A0">
      <w:pPr>
        <w:spacing w:before="221" w:line="360" w:lineRule="auto"/>
        <w:ind w:left="36" w:right="13" w:firstLine="567"/>
        <w:jc w:val="both"/>
        <w:rPr>
          <w:rFonts w:ascii="仿宋" w:hAnsi="仿宋" w:eastAsia="仿宋" w:cs="仿宋"/>
          <w:sz w:val="28"/>
          <w:szCs w:val="28"/>
        </w:rPr>
      </w:pPr>
      <w:r>
        <w:rPr>
          <w:rFonts w:ascii="仿宋" w:hAnsi="仿宋" w:eastAsia="仿宋" w:cs="仿宋"/>
          <w:b/>
          <w:bCs/>
          <w:sz w:val="28"/>
          <w:szCs w:val="28"/>
        </w:rPr>
        <w:t>第七十条</w:t>
      </w:r>
      <w:r>
        <w:rPr>
          <w:rFonts w:ascii="仿宋" w:hAnsi="仿宋" w:eastAsia="仿宋" w:cs="仿宋"/>
          <w:sz w:val="28"/>
          <w:szCs w:val="28"/>
        </w:rPr>
        <w:t xml:space="preserve"> 财务分析与财务监督是认识、掌握财务活动规律，提</w:t>
      </w:r>
      <w:r>
        <w:rPr>
          <w:rFonts w:ascii="仿宋" w:hAnsi="仿宋" w:eastAsia="仿宋" w:cs="仿宋"/>
          <w:spacing w:val="3"/>
          <w:sz w:val="28"/>
          <w:szCs w:val="28"/>
        </w:rPr>
        <w:t xml:space="preserve"> </w:t>
      </w:r>
      <w:r>
        <w:rPr>
          <w:rFonts w:ascii="仿宋" w:hAnsi="仿宋" w:eastAsia="仿宋" w:cs="仿宋"/>
          <w:spacing w:val="-4"/>
          <w:sz w:val="28"/>
          <w:szCs w:val="28"/>
        </w:rPr>
        <w:t>高财务管理水平和资金使用效益，维护财经纪律，促进慈善事业和公</w:t>
      </w:r>
      <w:r>
        <w:rPr>
          <w:rFonts w:ascii="仿宋" w:hAnsi="仿宋" w:eastAsia="仿宋" w:cs="仿宋"/>
          <w:spacing w:val="3"/>
          <w:sz w:val="28"/>
          <w:szCs w:val="28"/>
        </w:rPr>
        <w:t xml:space="preserve"> </w:t>
      </w:r>
      <w:r>
        <w:rPr>
          <w:rFonts w:ascii="仿宋" w:hAnsi="仿宋" w:eastAsia="仿宋" w:cs="仿宋"/>
          <w:spacing w:val="-2"/>
          <w:sz w:val="28"/>
          <w:szCs w:val="28"/>
        </w:rPr>
        <w:t>益事业健康发展的重要手段。</w:t>
      </w:r>
    </w:p>
    <w:p w14:paraId="22FEBE63">
      <w:pPr>
        <w:spacing w:before="43" w:line="363" w:lineRule="auto"/>
        <w:ind w:left="31" w:right="13" w:firstLine="572"/>
        <w:jc w:val="both"/>
        <w:rPr>
          <w:rFonts w:ascii="仿宋" w:hAnsi="仿宋" w:eastAsia="仿宋" w:cs="仿宋"/>
          <w:sz w:val="28"/>
          <w:szCs w:val="28"/>
        </w:rPr>
      </w:pPr>
      <w:r>
        <w:rPr>
          <w:rFonts w:ascii="仿宋" w:hAnsi="仿宋" w:eastAsia="仿宋" w:cs="仿宋"/>
          <w:b/>
          <w:bCs/>
          <w:sz w:val="28"/>
          <w:szCs w:val="28"/>
        </w:rPr>
        <w:t>第七十一条</w:t>
      </w:r>
      <w:r>
        <w:rPr>
          <w:rFonts w:ascii="仿宋" w:hAnsi="仿宋" w:eastAsia="仿宋" w:cs="仿宋"/>
          <w:sz w:val="28"/>
          <w:szCs w:val="28"/>
        </w:rPr>
        <w:t xml:space="preserve"> 财务分析的主要内容包括：预算执行情况，资金运 </w:t>
      </w:r>
      <w:r>
        <w:rPr>
          <w:rFonts w:ascii="仿宋" w:hAnsi="仿宋" w:eastAsia="仿宋" w:cs="仿宋"/>
          <w:spacing w:val="-4"/>
          <w:sz w:val="28"/>
          <w:szCs w:val="28"/>
        </w:rPr>
        <w:t>用情况，成本（费用）情况，财产物资的使用、管理情况等。基金会</w:t>
      </w:r>
      <w:r>
        <w:rPr>
          <w:rFonts w:ascii="仿宋" w:hAnsi="仿宋" w:eastAsia="仿宋" w:cs="仿宋"/>
          <w:spacing w:val="7"/>
          <w:sz w:val="28"/>
          <w:szCs w:val="28"/>
        </w:rPr>
        <w:t xml:space="preserve"> </w:t>
      </w:r>
      <w:r>
        <w:rPr>
          <w:rFonts w:ascii="仿宋" w:hAnsi="仿宋" w:eastAsia="仿宋" w:cs="仿宋"/>
          <w:spacing w:val="-4"/>
          <w:sz w:val="28"/>
          <w:szCs w:val="28"/>
        </w:rPr>
        <w:t>财务人员应结合项目管理和服务特点，建立科学、合理的财务分析指</w:t>
      </w:r>
      <w:r>
        <w:rPr>
          <w:rFonts w:ascii="仿宋" w:hAnsi="仿宋" w:eastAsia="仿宋" w:cs="仿宋"/>
          <w:spacing w:val="7"/>
          <w:sz w:val="28"/>
          <w:szCs w:val="28"/>
        </w:rPr>
        <w:t xml:space="preserve"> </w:t>
      </w:r>
      <w:r>
        <w:rPr>
          <w:rFonts w:ascii="仿宋" w:hAnsi="仿宋" w:eastAsia="仿宋" w:cs="仿宋"/>
          <w:spacing w:val="-4"/>
          <w:sz w:val="28"/>
          <w:szCs w:val="28"/>
        </w:rPr>
        <w:t>标。通过分析，反映业务活动和经济活动的效果，并将分析结果及时</w:t>
      </w:r>
      <w:r>
        <w:rPr>
          <w:rFonts w:ascii="仿宋" w:hAnsi="仿宋" w:eastAsia="仿宋" w:cs="仿宋"/>
          <w:spacing w:val="7"/>
          <w:sz w:val="28"/>
          <w:szCs w:val="28"/>
        </w:rPr>
        <w:t xml:space="preserve"> </w:t>
      </w:r>
      <w:r>
        <w:rPr>
          <w:rFonts w:ascii="仿宋" w:hAnsi="仿宋" w:eastAsia="仿宋" w:cs="仿宋"/>
          <w:spacing w:val="-1"/>
          <w:sz w:val="28"/>
          <w:szCs w:val="28"/>
        </w:rPr>
        <w:t>提交给秘书处和理事会，为其进行决策提供科学、可靠的依据。</w:t>
      </w:r>
    </w:p>
    <w:p w14:paraId="635323BE">
      <w:pPr>
        <w:spacing w:before="48" w:line="362" w:lineRule="auto"/>
        <w:ind w:left="33" w:right="13" w:firstLine="570"/>
        <w:jc w:val="both"/>
        <w:rPr>
          <w:rFonts w:ascii="仿宋" w:hAnsi="仿宋" w:eastAsia="仿宋" w:cs="仿宋"/>
          <w:sz w:val="28"/>
          <w:szCs w:val="28"/>
        </w:rPr>
      </w:pPr>
      <w:r>
        <w:rPr>
          <w:rFonts w:ascii="仿宋" w:hAnsi="仿宋" w:eastAsia="仿宋" w:cs="仿宋"/>
          <w:b/>
          <w:bCs/>
          <w:sz w:val="28"/>
          <w:szCs w:val="28"/>
        </w:rPr>
        <w:t>第七十二条</w:t>
      </w:r>
      <w:r>
        <w:rPr>
          <w:rFonts w:ascii="仿宋" w:hAnsi="仿宋" w:eastAsia="仿宋" w:cs="仿宋"/>
          <w:sz w:val="28"/>
          <w:szCs w:val="28"/>
        </w:rPr>
        <w:t xml:space="preserve"> 基金会财务人员要通过收支审核、财务分析等，对 </w:t>
      </w:r>
      <w:r>
        <w:rPr>
          <w:rFonts w:ascii="仿宋" w:hAnsi="仿宋" w:eastAsia="仿宋" w:cs="仿宋"/>
          <w:spacing w:val="-4"/>
          <w:sz w:val="28"/>
          <w:szCs w:val="28"/>
        </w:rPr>
        <w:t>财务收支、资金运用、物资管理等情况进行监督检查。对违反国家财</w:t>
      </w:r>
      <w:r>
        <w:rPr>
          <w:rFonts w:ascii="仿宋" w:hAnsi="仿宋" w:eastAsia="仿宋" w:cs="仿宋"/>
          <w:spacing w:val="5"/>
          <w:sz w:val="28"/>
          <w:szCs w:val="28"/>
        </w:rPr>
        <w:t xml:space="preserve"> </w:t>
      </w:r>
      <w:r>
        <w:rPr>
          <w:rFonts w:ascii="仿宋" w:hAnsi="仿宋" w:eastAsia="仿宋" w:cs="仿宋"/>
          <w:spacing w:val="-4"/>
          <w:sz w:val="28"/>
          <w:szCs w:val="28"/>
        </w:rPr>
        <w:t>政、财务制度和财经纪律的行为，要及时予以制止、纠正；性质比较</w:t>
      </w:r>
      <w:r>
        <w:rPr>
          <w:rFonts w:ascii="仿宋" w:hAnsi="仿宋" w:eastAsia="仿宋" w:cs="仿宋"/>
          <w:spacing w:val="5"/>
          <w:sz w:val="28"/>
          <w:szCs w:val="28"/>
        </w:rPr>
        <w:t xml:space="preserve"> </w:t>
      </w:r>
      <w:r>
        <w:rPr>
          <w:rFonts w:ascii="仿宋" w:hAnsi="仿宋" w:eastAsia="仿宋" w:cs="仿宋"/>
          <w:spacing w:val="-2"/>
          <w:sz w:val="28"/>
          <w:szCs w:val="28"/>
        </w:rPr>
        <w:t>严重的，要向秘书长、理事长报告。</w:t>
      </w:r>
    </w:p>
    <w:p w14:paraId="310DAC9B">
      <w:pPr>
        <w:spacing w:before="43" w:line="222" w:lineRule="auto"/>
        <w:ind w:left="2775"/>
        <w:rPr>
          <w:rFonts w:ascii="黑体" w:hAnsi="黑体" w:eastAsia="黑体" w:cs="黑体"/>
          <w:sz w:val="28"/>
          <w:szCs w:val="28"/>
        </w:rPr>
      </w:pPr>
      <w:r>
        <w:rPr>
          <w:rFonts w:ascii="黑体" w:hAnsi="黑体" w:eastAsia="黑体" w:cs="黑体"/>
          <w:b/>
          <w:bCs/>
          <w:spacing w:val="-4"/>
          <w:sz w:val="28"/>
          <w:szCs w:val="28"/>
        </w:rPr>
        <w:t>第二十四章</w:t>
      </w:r>
      <w:r>
        <w:rPr>
          <w:rFonts w:ascii="黑体" w:hAnsi="黑体" w:eastAsia="黑体" w:cs="黑体"/>
          <w:spacing w:val="-4"/>
          <w:sz w:val="28"/>
          <w:szCs w:val="28"/>
        </w:rPr>
        <w:t xml:space="preserve">  </w:t>
      </w:r>
      <w:r>
        <w:rPr>
          <w:rFonts w:ascii="黑体" w:hAnsi="黑体" w:eastAsia="黑体" w:cs="黑体"/>
          <w:b/>
          <w:bCs/>
          <w:spacing w:val="-4"/>
          <w:sz w:val="28"/>
          <w:szCs w:val="28"/>
        </w:rPr>
        <w:t>财务决算</w:t>
      </w:r>
    </w:p>
    <w:p w14:paraId="7703612B">
      <w:pPr>
        <w:spacing w:before="223" w:line="360" w:lineRule="auto"/>
        <w:ind w:left="36" w:right="13" w:firstLine="567"/>
        <w:jc w:val="both"/>
        <w:rPr>
          <w:rFonts w:ascii="仿宋" w:hAnsi="仿宋" w:eastAsia="仿宋" w:cs="仿宋"/>
          <w:sz w:val="28"/>
          <w:szCs w:val="28"/>
        </w:rPr>
      </w:pPr>
      <w:r>
        <w:rPr>
          <w:rFonts w:ascii="仿宋" w:hAnsi="仿宋" w:eastAsia="仿宋" w:cs="仿宋"/>
          <w:b/>
          <w:bCs/>
          <w:sz w:val="28"/>
          <w:szCs w:val="28"/>
        </w:rPr>
        <w:t>第七十三条</w:t>
      </w:r>
      <w:r>
        <w:rPr>
          <w:rFonts w:ascii="仿宋" w:hAnsi="仿宋" w:eastAsia="仿宋" w:cs="仿宋"/>
          <w:sz w:val="28"/>
          <w:szCs w:val="28"/>
        </w:rPr>
        <w:t xml:space="preserve"> 年度财务决算是年度会计期间公益慈善项目的收入 </w:t>
      </w:r>
      <w:r>
        <w:rPr>
          <w:rFonts w:ascii="仿宋" w:hAnsi="仿宋" w:eastAsia="仿宋" w:cs="仿宋"/>
          <w:spacing w:val="1"/>
          <w:sz w:val="28"/>
          <w:szCs w:val="28"/>
        </w:rPr>
        <w:t>及成本、资产质量、财务效益等基本情况的综合反肿</w:t>
      </w:r>
      <w:r>
        <w:rPr>
          <w:rFonts w:ascii="仿宋" w:hAnsi="仿宋" w:eastAsia="仿宋" w:cs="仿宋"/>
          <w:sz w:val="28"/>
          <w:szCs w:val="28"/>
        </w:rPr>
        <w:t xml:space="preserve"> 具全面了解和 </w:t>
      </w:r>
      <w:r>
        <w:rPr>
          <w:rFonts w:ascii="仿宋" w:hAnsi="仿宋" w:eastAsia="仿宋" w:cs="仿宋"/>
          <w:spacing w:val="-2"/>
          <w:sz w:val="28"/>
          <w:szCs w:val="28"/>
        </w:rPr>
        <w:t>掌握运营状况的重要手段。</w:t>
      </w:r>
    </w:p>
    <w:p w14:paraId="0DB37538">
      <w:pPr>
        <w:spacing w:before="43" w:line="220" w:lineRule="auto"/>
        <w:ind w:right="16"/>
        <w:jc w:val="right"/>
        <w:rPr>
          <w:rFonts w:ascii="仿宋" w:hAnsi="仿宋" w:eastAsia="仿宋" w:cs="仿宋"/>
          <w:sz w:val="28"/>
          <w:szCs w:val="28"/>
        </w:rPr>
      </w:pPr>
      <w:r>
        <w:rPr>
          <w:rFonts w:ascii="仿宋" w:hAnsi="仿宋" w:eastAsia="仿宋" w:cs="仿宋"/>
          <w:b/>
          <w:bCs/>
          <w:sz w:val="28"/>
          <w:szCs w:val="28"/>
        </w:rPr>
        <w:t>第七十四条</w:t>
      </w:r>
      <w:r>
        <w:rPr>
          <w:rFonts w:ascii="仿宋" w:hAnsi="仿宋" w:eastAsia="仿宋" w:cs="仿宋"/>
          <w:sz w:val="28"/>
          <w:szCs w:val="28"/>
        </w:rPr>
        <w:t xml:space="preserve"> 本基金会在严格按照国家有关财务会计制度</w:t>
      </w:r>
      <w:r>
        <w:rPr>
          <w:rFonts w:ascii="仿宋" w:hAnsi="仿宋" w:eastAsia="仿宋" w:cs="仿宋"/>
          <w:spacing w:val="-1"/>
          <w:sz w:val="28"/>
          <w:szCs w:val="28"/>
        </w:rPr>
        <w:t>规定。</w:t>
      </w:r>
    </w:p>
    <w:p w14:paraId="58DEA164">
      <w:pPr>
        <w:spacing w:line="220" w:lineRule="auto"/>
        <w:rPr>
          <w:rFonts w:ascii="仿宋" w:hAnsi="仿宋" w:eastAsia="仿宋" w:cs="仿宋"/>
          <w:sz w:val="28"/>
          <w:szCs w:val="28"/>
        </w:rPr>
        <w:sectPr>
          <w:pgSz w:w="11906" w:h="16839"/>
          <w:pgMar w:top="400" w:right="1785" w:bottom="856" w:left="1785" w:header="0" w:footer="850" w:gutter="0"/>
          <w:pgNumType w:fmt="decimal"/>
          <w:cols w:space="720" w:num="1"/>
        </w:sectPr>
      </w:pPr>
    </w:p>
    <w:p w14:paraId="504DCF14">
      <w:pPr>
        <w:spacing w:line="287" w:lineRule="auto"/>
        <w:rPr>
          <w:rFonts w:ascii="Arial"/>
          <w:sz w:val="21"/>
        </w:rPr>
      </w:pPr>
    </w:p>
    <w:p w14:paraId="2C89456B">
      <w:pPr>
        <w:spacing w:line="287" w:lineRule="auto"/>
        <w:rPr>
          <w:rFonts w:ascii="Arial"/>
          <w:sz w:val="21"/>
        </w:rPr>
      </w:pPr>
    </w:p>
    <w:p w14:paraId="4BE966A6">
      <w:pPr>
        <w:spacing w:line="288" w:lineRule="auto"/>
        <w:rPr>
          <w:rFonts w:ascii="Arial"/>
          <w:sz w:val="21"/>
        </w:rPr>
      </w:pPr>
    </w:p>
    <w:p w14:paraId="0763FFA0">
      <w:pPr>
        <w:spacing w:line="288" w:lineRule="auto"/>
        <w:rPr>
          <w:rFonts w:ascii="Arial"/>
          <w:sz w:val="21"/>
        </w:rPr>
      </w:pPr>
    </w:p>
    <w:p w14:paraId="01A953C7">
      <w:pPr>
        <w:spacing w:before="91" w:line="358" w:lineRule="auto"/>
        <w:ind w:left="33" w:right="34" w:firstLine="1"/>
        <w:jc w:val="both"/>
        <w:rPr>
          <w:rFonts w:ascii="仿宋" w:hAnsi="仿宋" w:eastAsia="仿宋" w:cs="仿宋"/>
          <w:sz w:val="28"/>
          <w:szCs w:val="28"/>
        </w:rPr>
      </w:pPr>
      <w:r>
        <w:rPr>
          <w:rFonts w:ascii="仿宋" w:hAnsi="仿宋" w:eastAsia="仿宋" w:cs="仿宋"/>
          <w:spacing w:val="-4"/>
          <w:sz w:val="28"/>
          <w:szCs w:val="28"/>
        </w:rPr>
        <w:t>进行财产清查、债权债务确认和资产质量核实的基础上，以年度内发</w:t>
      </w:r>
      <w:r>
        <w:rPr>
          <w:rFonts w:ascii="仿宋" w:hAnsi="仿宋" w:eastAsia="仿宋" w:cs="仿宋"/>
          <w:spacing w:val="4"/>
          <w:sz w:val="28"/>
          <w:szCs w:val="28"/>
        </w:rPr>
        <w:t xml:space="preserve"> </w:t>
      </w:r>
      <w:r>
        <w:rPr>
          <w:rFonts w:ascii="仿宋" w:hAnsi="仿宋" w:eastAsia="仿宋" w:cs="仿宋"/>
          <w:spacing w:val="-4"/>
          <w:sz w:val="28"/>
          <w:szCs w:val="28"/>
        </w:rPr>
        <w:t>生的全部经济交易事项的会计帐薄为基本依据。认真组织财务决算编</w:t>
      </w:r>
      <w:r>
        <w:rPr>
          <w:rFonts w:ascii="仿宋" w:hAnsi="仿宋" w:eastAsia="仿宋" w:cs="仿宋"/>
          <w:spacing w:val="5"/>
          <w:sz w:val="28"/>
          <w:szCs w:val="28"/>
        </w:rPr>
        <w:t xml:space="preserve"> </w:t>
      </w:r>
      <w:r>
        <w:rPr>
          <w:rFonts w:ascii="仿宋" w:hAnsi="仿宋" w:eastAsia="仿宋" w:cs="仿宋"/>
          <w:spacing w:val="-1"/>
          <w:sz w:val="28"/>
          <w:szCs w:val="28"/>
        </w:rPr>
        <w:t>制和报表工作，做到帐表一致、帐帐一致、帐证一致、帐实一致。</w:t>
      </w:r>
    </w:p>
    <w:p w14:paraId="6D496011">
      <w:pPr>
        <w:spacing w:before="50" w:line="353" w:lineRule="auto"/>
        <w:ind w:left="32" w:right="35" w:firstLine="571"/>
        <w:rPr>
          <w:rFonts w:ascii="仿宋" w:hAnsi="仿宋" w:eastAsia="仿宋" w:cs="仿宋"/>
          <w:sz w:val="28"/>
          <w:szCs w:val="28"/>
        </w:rPr>
      </w:pPr>
      <w:r>
        <w:rPr>
          <w:rFonts w:ascii="仿宋" w:hAnsi="仿宋" w:eastAsia="仿宋" w:cs="仿宋"/>
          <w:b/>
          <w:bCs/>
          <w:sz w:val="28"/>
          <w:szCs w:val="28"/>
        </w:rPr>
        <w:t>第七十五条</w:t>
      </w:r>
      <w:r>
        <w:rPr>
          <w:rFonts w:ascii="仿宋" w:hAnsi="仿宋" w:eastAsia="仿宋" w:cs="仿宋"/>
          <w:sz w:val="28"/>
          <w:szCs w:val="28"/>
        </w:rPr>
        <w:t xml:space="preserve"> 本基金会严格按照《会计制度》的规定编制财务报 </w:t>
      </w:r>
      <w:r>
        <w:rPr>
          <w:rFonts w:ascii="仿宋" w:hAnsi="仿宋" w:eastAsia="仿宋" w:cs="仿宋"/>
          <w:spacing w:val="-2"/>
          <w:sz w:val="28"/>
          <w:szCs w:val="28"/>
        </w:rPr>
        <w:t>告，并接受会计师事务所的审计。</w:t>
      </w:r>
    </w:p>
    <w:p w14:paraId="44BA01EB">
      <w:pPr>
        <w:spacing w:before="49" w:line="354" w:lineRule="auto"/>
        <w:ind w:left="2212" w:right="113" w:hanging="1609"/>
        <w:rPr>
          <w:rFonts w:ascii="黑体" w:hAnsi="黑体" w:eastAsia="黑体" w:cs="黑体"/>
          <w:sz w:val="28"/>
          <w:szCs w:val="28"/>
        </w:rPr>
      </w:pPr>
      <w:r>
        <w:rPr>
          <w:rFonts w:ascii="仿宋" w:hAnsi="仿宋" w:eastAsia="仿宋" w:cs="仿宋"/>
          <w:b/>
          <w:bCs/>
          <w:spacing w:val="-3"/>
          <w:sz w:val="28"/>
          <w:szCs w:val="28"/>
        </w:rPr>
        <w:t>第七十六条</w:t>
      </w:r>
      <w:r>
        <w:rPr>
          <w:rFonts w:ascii="仿宋" w:hAnsi="仿宋" w:eastAsia="仿宋" w:cs="仿宋"/>
          <w:spacing w:val="-3"/>
          <w:sz w:val="28"/>
          <w:szCs w:val="28"/>
        </w:rPr>
        <w:t xml:space="preserve"> 本基金会年度财务报告对外披露须经理事长批准。</w:t>
      </w:r>
      <w:r>
        <w:rPr>
          <w:rFonts w:ascii="仿宋" w:hAnsi="仿宋" w:eastAsia="仿宋" w:cs="仿宋"/>
          <w:spacing w:val="6"/>
          <w:sz w:val="28"/>
          <w:szCs w:val="28"/>
        </w:rPr>
        <w:t xml:space="preserve"> </w:t>
      </w:r>
      <w:r>
        <w:rPr>
          <w:rFonts w:ascii="黑体" w:hAnsi="黑体" w:eastAsia="黑体" w:cs="黑体"/>
          <w:b/>
          <w:bCs/>
          <w:spacing w:val="-3"/>
          <w:sz w:val="28"/>
          <w:szCs w:val="28"/>
        </w:rPr>
        <w:t>第二十五章</w:t>
      </w:r>
      <w:r>
        <w:rPr>
          <w:rFonts w:ascii="黑体" w:hAnsi="黑体" w:eastAsia="黑体" w:cs="黑体"/>
          <w:spacing w:val="-3"/>
          <w:sz w:val="28"/>
          <w:szCs w:val="28"/>
        </w:rPr>
        <w:t xml:space="preserve">  </w:t>
      </w:r>
      <w:r>
        <w:rPr>
          <w:rFonts w:ascii="黑体" w:hAnsi="黑体" w:eastAsia="黑体" w:cs="黑体"/>
          <w:b/>
          <w:bCs/>
          <w:spacing w:val="-3"/>
          <w:sz w:val="28"/>
          <w:szCs w:val="28"/>
        </w:rPr>
        <w:t>财务会计信息披露</w:t>
      </w:r>
    </w:p>
    <w:p w14:paraId="3C93928A">
      <w:pPr>
        <w:spacing w:before="44" w:line="362" w:lineRule="auto"/>
        <w:ind w:left="31" w:firstLine="572"/>
        <w:jc w:val="both"/>
        <w:rPr>
          <w:rFonts w:ascii="仿宋" w:hAnsi="仿宋" w:eastAsia="仿宋" w:cs="仿宋"/>
          <w:sz w:val="28"/>
          <w:szCs w:val="28"/>
        </w:rPr>
      </w:pPr>
      <w:r>
        <w:rPr>
          <w:rFonts w:ascii="仿宋" w:hAnsi="仿宋" w:eastAsia="仿宋" w:cs="仿宋"/>
          <w:b/>
          <w:bCs/>
          <w:sz w:val="28"/>
          <w:szCs w:val="28"/>
        </w:rPr>
        <w:t>第七十七条</w:t>
      </w:r>
      <w:r>
        <w:rPr>
          <w:rFonts w:ascii="仿宋" w:hAnsi="仿宋" w:eastAsia="仿宋" w:cs="仿宋"/>
          <w:sz w:val="28"/>
          <w:szCs w:val="28"/>
        </w:rPr>
        <w:t xml:space="preserve"> 财务会计信息是捐赠人、管理人和理事会等基金会 </w:t>
      </w:r>
      <w:r>
        <w:rPr>
          <w:rFonts w:ascii="仿宋" w:hAnsi="仿宋" w:eastAsia="仿宋" w:cs="仿宋"/>
          <w:spacing w:val="-4"/>
          <w:sz w:val="28"/>
          <w:szCs w:val="28"/>
        </w:rPr>
        <w:t>利益相关方了解基金会资源状况、负债水平、资金使用情况及现金流</w:t>
      </w:r>
      <w:r>
        <w:rPr>
          <w:rFonts w:ascii="仿宋" w:hAnsi="仿宋" w:eastAsia="仿宋" w:cs="仿宋"/>
          <w:spacing w:val="7"/>
          <w:sz w:val="28"/>
          <w:szCs w:val="28"/>
        </w:rPr>
        <w:t xml:space="preserve"> </w:t>
      </w:r>
      <w:r>
        <w:rPr>
          <w:rFonts w:ascii="仿宋" w:hAnsi="仿宋" w:eastAsia="仿宋" w:cs="仿宋"/>
          <w:spacing w:val="-3"/>
          <w:sz w:val="28"/>
          <w:szCs w:val="28"/>
        </w:rPr>
        <w:t>量等信息的重要来源。财务信息披露是建立社会公信力的重要环节，</w:t>
      </w:r>
      <w:r>
        <w:rPr>
          <w:rFonts w:ascii="仿宋" w:hAnsi="仿宋" w:eastAsia="仿宋" w:cs="仿宋"/>
          <w:spacing w:val="12"/>
          <w:sz w:val="28"/>
          <w:szCs w:val="28"/>
        </w:rPr>
        <w:t xml:space="preserve"> </w:t>
      </w:r>
      <w:r>
        <w:rPr>
          <w:rFonts w:ascii="仿宋" w:hAnsi="仿宋" w:eastAsia="仿宋" w:cs="仿宋"/>
          <w:spacing w:val="-2"/>
          <w:sz w:val="28"/>
          <w:szCs w:val="28"/>
        </w:rPr>
        <w:t>其主要形式是财务会计报告。</w:t>
      </w:r>
    </w:p>
    <w:p w14:paraId="296AB39B">
      <w:pPr>
        <w:spacing w:before="44" w:line="363" w:lineRule="auto"/>
        <w:ind w:left="32" w:right="34" w:firstLine="571"/>
        <w:rPr>
          <w:rFonts w:ascii="仿宋" w:hAnsi="仿宋" w:eastAsia="仿宋" w:cs="仿宋"/>
          <w:sz w:val="28"/>
          <w:szCs w:val="28"/>
        </w:rPr>
      </w:pPr>
      <w:r>
        <w:rPr>
          <w:rFonts w:ascii="仿宋" w:hAnsi="仿宋" w:eastAsia="仿宋" w:cs="仿宋"/>
          <w:b/>
          <w:bCs/>
          <w:sz w:val="28"/>
          <w:szCs w:val="28"/>
        </w:rPr>
        <w:t>第七十八条</w:t>
      </w:r>
      <w:r>
        <w:rPr>
          <w:rFonts w:ascii="仿宋" w:hAnsi="仿宋" w:eastAsia="仿宋" w:cs="仿宋"/>
          <w:sz w:val="28"/>
          <w:szCs w:val="28"/>
        </w:rPr>
        <w:t xml:space="preserve"> 财务会计报告由会计报表、会计报表附注和财务情 </w:t>
      </w:r>
      <w:r>
        <w:rPr>
          <w:rFonts w:ascii="仿宋" w:hAnsi="仿宋" w:eastAsia="仿宋" w:cs="仿宋"/>
          <w:spacing w:val="-4"/>
          <w:sz w:val="28"/>
          <w:szCs w:val="28"/>
        </w:rPr>
        <w:t>况说明书构成。按照《会计制度》的规定，本基金会会计报表包括资</w:t>
      </w:r>
      <w:r>
        <w:rPr>
          <w:rFonts w:ascii="仿宋" w:hAnsi="仿宋" w:eastAsia="仿宋" w:cs="仿宋"/>
          <w:spacing w:val="7"/>
          <w:sz w:val="28"/>
          <w:szCs w:val="28"/>
        </w:rPr>
        <w:t xml:space="preserve"> </w:t>
      </w:r>
      <w:r>
        <w:rPr>
          <w:rFonts w:ascii="仿宋" w:hAnsi="仿宋" w:eastAsia="仿宋" w:cs="仿宋"/>
          <w:spacing w:val="-4"/>
          <w:sz w:val="28"/>
          <w:szCs w:val="28"/>
        </w:rPr>
        <w:t>产负债表、业务活动表和现金流量表，同时包括会计报表附注，说明</w:t>
      </w:r>
      <w:r>
        <w:rPr>
          <w:rFonts w:ascii="仿宋" w:hAnsi="仿宋" w:eastAsia="仿宋" w:cs="仿宋"/>
          <w:spacing w:val="7"/>
          <w:sz w:val="28"/>
          <w:szCs w:val="28"/>
        </w:rPr>
        <w:t xml:space="preserve"> </w:t>
      </w:r>
      <w:r>
        <w:rPr>
          <w:rFonts w:ascii="仿宋" w:hAnsi="仿宋" w:eastAsia="仿宋" w:cs="仿宋"/>
          <w:spacing w:val="-4"/>
          <w:sz w:val="28"/>
          <w:szCs w:val="28"/>
        </w:rPr>
        <w:t>基金会采用的主要会计政策、会计报表中反映的重要项目的具体说明</w:t>
      </w:r>
      <w:r>
        <w:rPr>
          <w:rFonts w:ascii="仿宋" w:hAnsi="仿宋" w:eastAsia="仿宋" w:cs="仿宋"/>
          <w:spacing w:val="6"/>
          <w:sz w:val="28"/>
          <w:szCs w:val="28"/>
        </w:rPr>
        <w:t xml:space="preserve"> </w:t>
      </w:r>
      <w:r>
        <w:rPr>
          <w:rFonts w:ascii="仿宋" w:hAnsi="仿宋" w:eastAsia="仿宋" w:cs="仿宋"/>
          <w:spacing w:val="-1"/>
          <w:sz w:val="28"/>
          <w:szCs w:val="28"/>
        </w:rPr>
        <w:t>和未在会计报表中反映的重要信息的说明等。</w:t>
      </w:r>
    </w:p>
    <w:p w14:paraId="19C9E24D">
      <w:pPr>
        <w:spacing w:before="47" w:line="359" w:lineRule="auto"/>
        <w:ind w:left="34" w:right="34" w:firstLine="569"/>
        <w:rPr>
          <w:rFonts w:ascii="仿宋" w:hAnsi="仿宋" w:eastAsia="仿宋" w:cs="仿宋"/>
          <w:sz w:val="28"/>
          <w:szCs w:val="28"/>
        </w:rPr>
      </w:pPr>
      <w:r>
        <w:rPr>
          <w:rFonts w:ascii="仿宋" w:hAnsi="仿宋" w:eastAsia="仿宋" w:cs="仿宋"/>
          <w:b/>
          <w:bCs/>
          <w:sz w:val="28"/>
          <w:szCs w:val="28"/>
        </w:rPr>
        <w:t>第七十九条</w:t>
      </w:r>
      <w:r>
        <w:rPr>
          <w:rFonts w:ascii="仿宋" w:hAnsi="仿宋" w:eastAsia="仿宋" w:cs="仿宋"/>
          <w:sz w:val="28"/>
          <w:szCs w:val="28"/>
        </w:rPr>
        <w:t xml:space="preserve"> 本基金会建立定期财务信息披露制度，提供真实、</w:t>
      </w:r>
      <w:r>
        <w:rPr>
          <w:rFonts w:ascii="仿宋" w:hAnsi="仿宋" w:eastAsia="仿宋" w:cs="仿宋"/>
          <w:spacing w:val="1"/>
          <w:sz w:val="28"/>
          <w:szCs w:val="28"/>
        </w:rPr>
        <w:t xml:space="preserve"> </w:t>
      </w:r>
      <w:r>
        <w:rPr>
          <w:rFonts w:ascii="仿宋" w:hAnsi="仿宋" w:eastAsia="仿宋" w:cs="仿宋"/>
          <w:spacing w:val="-4"/>
          <w:sz w:val="28"/>
          <w:szCs w:val="28"/>
        </w:rPr>
        <w:t>及时、公允的财务会计信息；按照基金会章程的规定定期在基金会网</w:t>
      </w:r>
      <w:r>
        <w:rPr>
          <w:rFonts w:ascii="仿宋" w:hAnsi="仿宋" w:eastAsia="仿宋" w:cs="仿宋"/>
          <w:spacing w:val="4"/>
          <w:sz w:val="28"/>
          <w:szCs w:val="28"/>
        </w:rPr>
        <w:t xml:space="preserve"> </w:t>
      </w:r>
      <w:r>
        <w:rPr>
          <w:rFonts w:ascii="仿宋" w:hAnsi="仿宋" w:eastAsia="仿宋" w:cs="仿宋"/>
          <w:spacing w:val="-1"/>
          <w:sz w:val="28"/>
          <w:szCs w:val="28"/>
        </w:rPr>
        <w:t>站及相关媒体上公布审计报告和财务会计报告。</w:t>
      </w:r>
    </w:p>
    <w:p w14:paraId="22CC2D0A">
      <w:pPr>
        <w:spacing w:before="46" w:line="362" w:lineRule="auto"/>
        <w:ind w:left="34" w:right="34" w:firstLine="569"/>
        <w:rPr>
          <w:rFonts w:ascii="仿宋" w:hAnsi="仿宋" w:eastAsia="仿宋" w:cs="仿宋"/>
          <w:sz w:val="28"/>
          <w:szCs w:val="28"/>
        </w:rPr>
      </w:pPr>
      <w:r>
        <w:rPr>
          <w:rFonts w:ascii="仿宋" w:hAnsi="仿宋" w:eastAsia="仿宋" w:cs="仿宋"/>
          <w:b/>
          <w:bCs/>
          <w:spacing w:val="-2"/>
          <w:sz w:val="28"/>
          <w:szCs w:val="28"/>
        </w:rPr>
        <w:t>第八十条</w:t>
      </w:r>
      <w:r>
        <w:rPr>
          <w:rFonts w:ascii="仿宋" w:hAnsi="仿宋" w:eastAsia="仿宋" w:cs="仿宋"/>
          <w:spacing w:val="57"/>
          <w:sz w:val="28"/>
          <w:szCs w:val="28"/>
        </w:rPr>
        <w:t xml:space="preserve"> </w:t>
      </w:r>
      <w:r>
        <w:rPr>
          <w:rFonts w:ascii="仿宋" w:hAnsi="仿宋" w:eastAsia="仿宋" w:cs="仿宋"/>
          <w:spacing w:val="-2"/>
          <w:sz w:val="28"/>
          <w:szCs w:val="28"/>
        </w:rPr>
        <w:t>以单一项目或捐赠人为报告主体的财务会计信息由财</w:t>
      </w:r>
      <w:r>
        <w:rPr>
          <w:rFonts w:ascii="仿宋" w:hAnsi="仿宋" w:eastAsia="仿宋" w:cs="仿宋"/>
          <w:sz w:val="28"/>
          <w:szCs w:val="28"/>
        </w:rPr>
        <w:t xml:space="preserve"> </w:t>
      </w:r>
      <w:r>
        <w:rPr>
          <w:rFonts w:ascii="仿宋" w:hAnsi="仿宋" w:eastAsia="仿宋" w:cs="仿宋"/>
          <w:spacing w:val="-4"/>
          <w:sz w:val="28"/>
          <w:szCs w:val="28"/>
        </w:rPr>
        <w:t>务人员负责按《会计制度》核算并编制，报秘书长审阅批准后，方可</w:t>
      </w:r>
      <w:r>
        <w:rPr>
          <w:rFonts w:ascii="仿宋" w:hAnsi="仿宋" w:eastAsia="仿宋" w:cs="仿宋"/>
          <w:spacing w:val="4"/>
          <w:sz w:val="28"/>
          <w:szCs w:val="28"/>
        </w:rPr>
        <w:t xml:space="preserve"> </w:t>
      </w:r>
      <w:r>
        <w:rPr>
          <w:rFonts w:ascii="仿宋" w:hAnsi="仿宋" w:eastAsia="仿宋" w:cs="仿宋"/>
          <w:spacing w:val="6"/>
          <w:sz w:val="28"/>
          <w:szCs w:val="28"/>
        </w:rPr>
        <w:t>对外提供或披露。重大财务信息的披露必须</w:t>
      </w:r>
      <w:r>
        <w:rPr>
          <w:rFonts w:ascii="仿宋" w:hAnsi="仿宋" w:eastAsia="仿宋" w:cs="仿宋"/>
          <w:spacing w:val="5"/>
          <w:sz w:val="28"/>
          <w:szCs w:val="28"/>
        </w:rPr>
        <w:t>纳入财务会计报告的内</w:t>
      </w:r>
      <w:r>
        <w:rPr>
          <w:rFonts w:ascii="仿宋" w:hAnsi="仿宋" w:eastAsia="仿宋" w:cs="仿宋"/>
          <w:sz w:val="28"/>
          <w:szCs w:val="28"/>
        </w:rPr>
        <w:t xml:space="preserve"> </w:t>
      </w:r>
      <w:r>
        <w:rPr>
          <w:rFonts w:ascii="仿宋" w:hAnsi="仿宋" w:eastAsia="仿宋" w:cs="仿宋"/>
          <w:spacing w:val="-2"/>
          <w:sz w:val="28"/>
          <w:szCs w:val="28"/>
        </w:rPr>
        <w:t>容，由秘书长提交理事长批准后对外披露。</w:t>
      </w:r>
    </w:p>
    <w:p w14:paraId="4C18473C">
      <w:pPr>
        <w:spacing w:before="45" w:line="222" w:lineRule="auto"/>
        <w:ind w:left="2494"/>
        <w:rPr>
          <w:rFonts w:ascii="黑体" w:hAnsi="黑体" w:eastAsia="黑体" w:cs="黑体"/>
          <w:sz w:val="28"/>
          <w:szCs w:val="28"/>
        </w:rPr>
      </w:pPr>
      <w:r>
        <w:rPr>
          <w:rFonts w:ascii="黑体" w:hAnsi="黑体" w:eastAsia="黑体" w:cs="黑体"/>
          <w:b/>
          <w:bCs/>
          <w:spacing w:val="-3"/>
          <w:sz w:val="28"/>
          <w:szCs w:val="28"/>
        </w:rPr>
        <w:t>第二十六章</w:t>
      </w:r>
      <w:r>
        <w:rPr>
          <w:rFonts w:ascii="黑体" w:hAnsi="黑体" w:eastAsia="黑体" w:cs="黑体"/>
          <w:spacing w:val="-3"/>
          <w:sz w:val="28"/>
          <w:szCs w:val="28"/>
        </w:rPr>
        <w:t xml:space="preserve">  </w:t>
      </w:r>
      <w:r>
        <w:rPr>
          <w:rFonts w:ascii="黑体" w:hAnsi="黑体" w:eastAsia="黑体" w:cs="黑体"/>
          <w:b/>
          <w:bCs/>
          <w:spacing w:val="-3"/>
          <w:sz w:val="28"/>
          <w:szCs w:val="28"/>
        </w:rPr>
        <w:t>会计档案管理</w:t>
      </w:r>
    </w:p>
    <w:p w14:paraId="4A6F2C3A">
      <w:pPr>
        <w:spacing w:line="222" w:lineRule="auto"/>
        <w:rPr>
          <w:rFonts w:ascii="黑体" w:hAnsi="黑体" w:eastAsia="黑体" w:cs="黑体"/>
          <w:sz w:val="28"/>
          <w:szCs w:val="28"/>
        </w:rPr>
        <w:sectPr>
          <w:pgSz w:w="11906" w:h="16839"/>
          <w:pgMar w:top="400" w:right="1764" w:bottom="400" w:left="1785" w:header="0" w:footer="850" w:gutter="0"/>
          <w:pgNumType w:fmt="decimal"/>
          <w:cols w:space="720" w:num="1"/>
        </w:sectPr>
      </w:pPr>
    </w:p>
    <w:p w14:paraId="281B7B1B">
      <w:pPr>
        <w:spacing w:line="287" w:lineRule="auto"/>
        <w:rPr>
          <w:rFonts w:ascii="Arial"/>
          <w:sz w:val="21"/>
        </w:rPr>
      </w:pPr>
    </w:p>
    <w:p w14:paraId="5E7912AD">
      <w:pPr>
        <w:spacing w:line="287" w:lineRule="auto"/>
        <w:rPr>
          <w:rFonts w:ascii="Arial"/>
          <w:sz w:val="21"/>
        </w:rPr>
      </w:pPr>
    </w:p>
    <w:p w14:paraId="4497929E">
      <w:pPr>
        <w:spacing w:line="288" w:lineRule="auto"/>
        <w:rPr>
          <w:rFonts w:ascii="Arial"/>
          <w:sz w:val="21"/>
        </w:rPr>
      </w:pPr>
    </w:p>
    <w:p w14:paraId="7945943A">
      <w:pPr>
        <w:spacing w:line="288" w:lineRule="auto"/>
        <w:rPr>
          <w:rFonts w:ascii="Arial"/>
          <w:sz w:val="21"/>
        </w:rPr>
      </w:pPr>
    </w:p>
    <w:p w14:paraId="7F4DABDE">
      <w:pPr>
        <w:spacing w:before="91" w:line="358" w:lineRule="auto"/>
        <w:ind w:left="34" w:right="80" w:firstLine="569"/>
        <w:jc w:val="both"/>
        <w:rPr>
          <w:rFonts w:ascii="仿宋" w:hAnsi="仿宋" w:eastAsia="仿宋" w:cs="仿宋"/>
          <w:sz w:val="28"/>
          <w:szCs w:val="28"/>
        </w:rPr>
      </w:pPr>
      <w:r>
        <w:rPr>
          <w:rFonts w:ascii="仿宋" w:hAnsi="仿宋" w:eastAsia="仿宋" w:cs="仿宋"/>
          <w:b/>
          <w:bCs/>
          <w:sz w:val="28"/>
          <w:szCs w:val="28"/>
        </w:rPr>
        <w:t>第八十一条</w:t>
      </w:r>
      <w:r>
        <w:rPr>
          <w:rFonts w:ascii="仿宋" w:hAnsi="仿宋" w:eastAsia="仿宋" w:cs="仿宋"/>
          <w:sz w:val="28"/>
          <w:szCs w:val="28"/>
        </w:rPr>
        <w:t xml:space="preserve"> 会计档案是记录和反映基金会经济业务事项的重要 </w:t>
      </w:r>
      <w:r>
        <w:rPr>
          <w:rFonts w:ascii="仿宋" w:hAnsi="仿宋" w:eastAsia="仿宋" w:cs="仿宋"/>
          <w:spacing w:val="-4"/>
          <w:sz w:val="28"/>
          <w:szCs w:val="28"/>
        </w:rPr>
        <w:t>历史资料和证据。会计档案包括会计凭证、会计帐簿、财务报告以及</w:t>
      </w:r>
      <w:r>
        <w:rPr>
          <w:rFonts w:ascii="仿宋" w:hAnsi="仿宋" w:eastAsia="仿宋" w:cs="仿宋"/>
          <w:spacing w:val="4"/>
          <w:sz w:val="28"/>
          <w:szCs w:val="28"/>
        </w:rPr>
        <w:t xml:space="preserve"> </w:t>
      </w:r>
      <w:r>
        <w:rPr>
          <w:rFonts w:ascii="仿宋" w:hAnsi="仿宋" w:eastAsia="仿宋" w:cs="仿宋"/>
          <w:spacing w:val="-3"/>
          <w:sz w:val="28"/>
          <w:szCs w:val="28"/>
        </w:rPr>
        <w:t>其他会计资料。</w:t>
      </w:r>
    </w:p>
    <w:p w14:paraId="0DF834A8">
      <w:pPr>
        <w:spacing w:before="51" w:line="353" w:lineRule="auto"/>
        <w:ind w:left="38" w:firstLine="565"/>
        <w:rPr>
          <w:rFonts w:ascii="仿宋" w:hAnsi="仿宋" w:eastAsia="仿宋" w:cs="仿宋"/>
          <w:sz w:val="28"/>
          <w:szCs w:val="28"/>
        </w:rPr>
      </w:pPr>
      <w:r>
        <w:rPr>
          <w:rFonts w:ascii="仿宋" w:hAnsi="仿宋" w:eastAsia="仿宋" w:cs="仿宋"/>
          <w:b/>
          <w:bCs/>
          <w:spacing w:val="-7"/>
          <w:sz w:val="28"/>
          <w:szCs w:val="28"/>
        </w:rPr>
        <w:t>第八十二条</w:t>
      </w:r>
      <w:r>
        <w:rPr>
          <w:rFonts w:ascii="仿宋" w:hAnsi="仿宋" w:eastAsia="仿宋" w:cs="仿宋"/>
          <w:spacing w:val="-7"/>
          <w:sz w:val="28"/>
          <w:szCs w:val="28"/>
        </w:rPr>
        <w:t xml:space="preserve"> 本基金会会计档案按照《会计档案管理办法》执行，</w:t>
      </w:r>
      <w:r>
        <w:rPr>
          <w:rFonts w:ascii="仿宋" w:hAnsi="仿宋" w:eastAsia="仿宋" w:cs="仿宋"/>
          <w:spacing w:val="4"/>
          <w:sz w:val="28"/>
          <w:szCs w:val="28"/>
        </w:rPr>
        <w:t xml:space="preserve"> </w:t>
      </w:r>
      <w:r>
        <w:rPr>
          <w:rFonts w:ascii="仿宋" w:hAnsi="仿宋" w:eastAsia="仿宋" w:cs="仿宋"/>
          <w:spacing w:val="-1"/>
          <w:sz w:val="28"/>
          <w:szCs w:val="28"/>
        </w:rPr>
        <w:t>实行专人管理。会计档案由财务人员负责整理归</w:t>
      </w:r>
      <w:r>
        <w:rPr>
          <w:rFonts w:ascii="仿宋" w:hAnsi="仿宋" w:eastAsia="仿宋" w:cs="仿宋"/>
          <w:spacing w:val="-2"/>
          <w:sz w:val="28"/>
          <w:szCs w:val="28"/>
        </w:rPr>
        <w:t>档。</w:t>
      </w:r>
    </w:p>
    <w:p w14:paraId="528C61FC">
      <w:pPr>
        <w:spacing w:before="48" w:line="354" w:lineRule="auto"/>
        <w:ind w:left="32" w:right="80" w:firstLine="571"/>
        <w:rPr>
          <w:rFonts w:ascii="仿宋" w:hAnsi="仿宋" w:eastAsia="仿宋" w:cs="仿宋"/>
          <w:sz w:val="28"/>
          <w:szCs w:val="28"/>
        </w:rPr>
      </w:pPr>
      <w:r>
        <w:rPr>
          <w:rFonts w:ascii="仿宋" w:hAnsi="仿宋" w:eastAsia="仿宋" w:cs="仿宋"/>
          <w:b/>
          <w:bCs/>
          <w:sz w:val="28"/>
          <w:szCs w:val="28"/>
        </w:rPr>
        <w:t>第八十三条</w:t>
      </w:r>
      <w:r>
        <w:rPr>
          <w:rFonts w:ascii="仿宋" w:hAnsi="仿宋" w:eastAsia="仿宋" w:cs="仿宋"/>
          <w:sz w:val="28"/>
          <w:szCs w:val="28"/>
        </w:rPr>
        <w:t xml:space="preserve"> 本基金会会计档案不得外借，遇有特殊情况，须经 </w:t>
      </w:r>
      <w:r>
        <w:rPr>
          <w:rFonts w:ascii="仿宋" w:hAnsi="仿宋" w:eastAsia="仿宋" w:cs="仿宋"/>
          <w:spacing w:val="-1"/>
          <w:sz w:val="28"/>
          <w:szCs w:val="28"/>
        </w:rPr>
        <w:t>秘书长批准后，可以提供查阅或复制，并办理登记手续。</w:t>
      </w:r>
    </w:p>
    <w:p w14:paraId="37051955">
      <w:pPr>
        <w:spacing w:before="46" w:line="359" w:lineRule="auto"/>
        <w:ind w:left="34" w:right="80" w:firstLine="569"/>
        <w:rPr>
          <w:rFonts w:ascii="仿宋" w:hAnsi="仿宋" w:eastAsia="仿宋" w:cs="仿宋"/>
          <w:sz w:val="28"/>
          <w:szCs w:val="28"/>
        </w:rPr>
      </w:pPr>
      <w:r>
        <w:rPr>
          <w:rFonts w:ascii="仿宋" w:hAnsi="仿宋" w:eastAsia="仿宋" w:cs="仿宋"/>
          <w:b/>
          <w:bCs/>
          <w:sz w:val="28"/>
          <w:szCs w:val="28"/>
        </w:rPr>
        <w:t>第八十四条</w:t>
      </w:r>
      <w:r>
        <w:rPr>
          <w:rFonts w:ascii="仿宋" w:hAnsi="仿宋" w:eastAsia="仿宋" w:cs="仿宋"/>
          <w:sz w:val="28"/>
          <w:szCs w:val="28"/>
        </w:rPr>
        <w:t xml:space="preserve"> 销毁会计档案须按规定程序审批。对到期未了结的 </w:t>
      </w:r>
      <w:r>
        <w:rPr>
          <w:rFonts w:ascii="仿宋" w:hAnsi="仿宋" w:eastAsia="仿宋" w:cs="仿宋"/>
          <w:spacing w:val="-4"/>
          <w:sz w:val="28"/>
          <w:szCs w:val="28"/>
        </w:rPr>
        <w:t>债权债务的原始凭证及其他未了事项的原始凭证不得销毁，单独抽出</w:t>
      </w:r>
      <w:r>
        <w:rPr>
          <w:rFonts w:ascii="仿宋" w:hAnsi="仿宋" w:eastAsia="仿宋" w:cs="仿宋"/>
          <w:spacing w:val="4"/>
          <w:sz w:val="28"/>
          <w:szCs w:val="28"/>
        </w:rPr>
        <w:t xml:space="preserve"> </w:t>
      </w:r>
      <w:r>
        <w:rPr>
          <w:rFonts w:ascii="仿宋" w:hAnsi="仿宋" w:eastAsia="仿宋" w:cs="仿宋"/>
          <w:spacing w:val="-2"/>
          <w:sz w:val="28"/>
          <w:szCs w:val="28"/>
        </w:rPr>
        <w:t>另行立卷，保管到未了事项完结时为止。</w:t>
      </w:r>
    </w:p>
    <w:p w14:paraId="49BDFD34">
      <w:pPr>
        <w:spacing w:before="46" w:line="222" w:lineRule="auto"/>
        <w:ind w:left="3056"/>
        <w:rPr>
          <w:rFonts w:ascii="黑体" w:hAnsi="黑体" w:eastAsia="黑体" w:cs="黑体"/>
          <w:sz w:val="28"/>
          <w:szCs w:val="28"/>
        </w:rPr>
      </w:pPr>
      <w:r>
        <w:rPr>
          <w:rFonts w:ascii="黑体" w:hAnsi="黑体" w:eastAsia="黑体" w:cs="黑体"/>
          <w:b/>
          <w:bCs/>
          <w:spacing w:val="-8"/>
          <w:sz w:val="28"/>
          <w:szCs w:val="28"/>
        </w:rPr>
        <w:t>第二十七章</w:t>
      </w:r>
      <w:r>
        <w:rPr>
          <w:rFonts w:ascii="黑体" w:hAnsi="黑体" w:eastAsia="黑体" w:cs="黑体"/>
          <w:spacing w:val="12"/>
          <w:sz w:val="28"/>
          <w:szCs w:val="28"/>
        </w:rPr>
        <w:t xml:space="preserve">  </w:t>
      </w:r>
      <w:r>
        <w:rPr>
          <w:rFonts w:ascii="黑体" w:hAnsi="黑体" w:eastAsia="黑体" w:cs="黑体"/>
          <w:b/>
          <w:bCs/>
          <w:spacing w:val="-8"/>
          <w:sz w:val="28"/>
          <w:szCs w:val="28"/>
        </w:rPr>
        <w:t>附则</w:t>
      </w:r>
    </w:p>
    <w:p w14:paraId="2C22E7AB">
      <w:pPr>
        <w:spacing w:before="221" w:line="222" w:lineRule="auto"/>
        <w:ind w:left="603"/>
        <w:rPr>
          <w:rFonts w:ascii="仿宋" w:hAnsi="仿宋" w:eastAsia="仿宋" w:cs="仿宋"/>
          <w:sz w:val="28"/>
          <w:szCs w:val="28"/>
        </w:rPr>
      </w:pPr>
      <w:r>
        <w:rPr>
          <w:rFonts w:ascii="仿宋" w:hAnsi="仿宋" w:eastAsia="仿宋" w:cs="仿宋"/>
          <w:b/>
          <w:bCs/>
          <w:spacing w:val="-2"/>
          <w:sz w:val="28"/>
          <w:szCs w:val="28"/>
        </w:rPr>
        <w:t>第八十五条</w:t>
      </w:r>
      <w:r>
        <w:rPr>
          <w:rFonts w:ascii="仿宋" w:hAnsi="仿宋" w:eastAsia="仿宋" w:cs="仿宋"/>
          <w:spacing w:val="-2"/>
          <w:sz w:val="28"/>
          <w:szCs w:val="28"/>
        </w:rPr>
        <w:t xml:space="preserve"> 本制度自理事会会议通过之日起施行。</w:t>
      </w:r>
    </w:p>
    <w:p w14:paraId="22D4D327">
      <w:pPr>
        <w:spacing w:line="222" w:lineRule="auto"/>
        <w:rPr>
          <w:rFonts w:ascii="仿宋" w:hAnsi="仿宋" w:eastAsia="仿宋" w:cs="仿宋"/>
          <w:sz w:val="28"/>
          <w:szCs w:val="28"/>
        </w:rPr>
        <w:sectPr>
          <w:pgSz w:w="11906" w:h="16839"/>
          <w:pgMar w:top="400" w:right="1718" w:bottom="400" w:left="1785" w:header="0" w:footer="850" w:gutter="0"/>
          <w:pgNumType w:fmt="decimal"/>
          <w:cols w:space="720" w:num="1"/>
        </w:sectPr>
      </w:pPr>
    </w:p>
    <w:p w14:paraId="63E79707">
      <w:pPr>
        <w:spacing w:line="258" w:lineRule="auto"/>
        <w:rPr>
          <w:rFonts w:ascii="Arial"/>
          <w:sz w:val="21"/>
        </w:rPr>
      </w:pPr>
    </w:p>
    <w:p w14:paraId="68177D74">
      <w:pPr>
        <w:spacing w:line="258" w:lineRule="auto"/>
        <w:rPr>
          <w:rFonts w:ascii="Arial"/>
          <w:sz w:val="21"/>
        </w:rPr>
      </w:pPr>
    </w:p>
    <w:p w14:paraId="2B580512">
      <w:pPr>
        <w:spacing w:line="258" w:lineRule="auto"/>
        <w:rPr>
          <w:rFonts w:ascii="Arial"/>
          <w:sz w:val="21"/>
        </w:rPr>
      </w:pPr>
    </w:p>
    <w:p w14:paraId="69052F41">
      <w:pPr>
        <w:spacing w:line="259" w:lineRule="auto"/>
        <w:rPr>
          <w:rFonts w:ascii="Arial"/>
          <w:sz w:val="21"/>
        </w:rPr>
      </w:pPr>
    </w:p>
    <w:p w14:paraId="6A2E9D3D">
      <w:pPr>
        <w:spacing w:before="120" w:line="221" w:lineRule="auto"/>
        <w:ind w:left="1123"/>
        <w:rPr>
          <w:rFonts w:ascii="方正舒体" w:hAnsi="方正舒体" w:eastAsia="方正舒体" w:cs="方正舒体"/>
          <w:sz w:val="35"/>
          <w:szCs w:val="35"/>
        </w:rPr>
      </w:pPr>
      <w:bookmarkStart w:id="18" w:name="bookmark22"/>
      <w:bookmarkEnd w:id="18"/>
      <w:r>
        <w:rPr>
          <w:rFonts w:ascii="方正舒体" w:hAnsi="方正舒体" w:eastAsia="方正舒体" w:cs="方正舒体"/>
          <w:spacing w:val="8"/>
          <w:sz w:val="35"/>
          <w:szCs w:val="35"/>
        </w:rPr>
        <w:t>青海湖生态保护基金会关联交易管理制度</w:t>
      </w:r>
    </w:p>
    <w:p w14:paraId="2C8E1E31">
      <w:pPr>
        <w:spacing w:line="247" w:lineRule="auto"/>
        <w:rPr>
          <w:rFonts w:ascii="Arial"/>
          <w:sz w:val="21"/>
        </w:rPr>
      </w:pPr>
    </w:p>
    <w:p w14:paraId="63F3F049">
      <w:pPr>
        <w:spacing w:line="248" w:lineRule="auto"/>
        <w:rPr>
          <w:rFonts w:ascii="Arial"/>
          <w:sz w:val="21"/>
        </w:rPr>
      </w:pPr>
    </w:p>
    <w:p w14:paraId="3D4A0674">
      <w:pPr>
        <w:spacing w:before="91" w:line="222" w:lineRule="auto"/>
        <w:ind w:left="3056"/>
        <w:rPr>
          <w:rFonts w:ascii="黑体" w:hAnsi="黑体" w:eastAsia="黑体" w:cs="黑体"/>
          <w:sz w:val="28"/>
          <w:szCs w:val="28"/>
        </w:rPr>
      </w:pPr>
      <w:r>
        <w:rPr>
          <w:rFonts w:ascii="黑体" w:hAnsi="黑体" w:eastAsia="黑体" w:cs="黑体"/>
          <w:b/>
          <w:bCs/>
          <w:spacing w:val="-4"/>
          <w:sz w:val="28"/>
          <w:szCs w:val="28"/>
        </w:rPr>
        <w:t>第二十八章</w:t>
      </w:r>
      <w:r>
        <w:rPr>
          <w:rFonts w:ascii="黑体" w:hAnsi="黑体" w:eastAsia="黑体" w:cs="黑体"/>
          <w:spacing w:val="-4"/>
          <w:sz w:val="28"/>
          <w:szCs w:val="28"/>
        </w:rPr>
        <w:t xml:space="preserve">  </w:t>
      </w:r>
      <w:r>
        <w:rPr>
          <w:rFonts w:ascii="黑体" w:hAnsi="黑体" w:eastAsia="黑体" w:cs="黑体"/>
          <w:b/>
          <w:bCs/>
          <w:spacing w:val="-4"/>
          <w:sz w:val="28"/>
          <w:szCs w:val="28"/>
        </w:rPr>
        <w:t>总则</w:t>
      </w:r>
    </w:p>
    <w:p w14:paraId="065541EB">
      <w:pPr>
        <w:spacing w:before="225" w:line="363" w:lineRule="auto"/>
        <w:ind w:left="32" w:right="13" w:firstLine="571"/>
        <w:jc w:val="both"/>
        <w:rPr>
          <w:rFonts w:ascii="仿宋" w:hAnsi="仿宋" w:eastAsia="仿宋" w:cs="仿宋"/>
          <w:sz w:val="28"/>
          <w:szCs w:val="28"/>
        </w:rPr>
      </w:pPr>
      <w:r>
        <w:rPr>
          <w:rFonts w:ascii="仿宋" w:hAnsi="仿宋" w:eastAsia="仿宋" w:cs="仿宋"/>
          <w:b/>
          <w:bCs/>
          <w:spacing w:val="-5"/>
          <w:sz w:val="28"/>
          <w:szCs w:val="28"/>
        </w:rPr>
        <w:t>第八十六条</w:t>
      </w:r>
      <w:r>
        <w:rPr>
          <w:rFonts w:ascii="仿宋" w:hAnsi="仿宋" w:eastAsia="仿宋" w:cs="仿宋"/>
          <w:spacing w:val="-5"/>
          <w:sz w:val="28"/>
          <w:szCs w:val="28"/>
        </w:rPr>
        <w:t xml:space="preserve"> 根据《基金会管理条例》《&lt;民间非营利组织会计制</w:t>
      </w:r>
      <w:r>
        <w:rPr>
          <w:rFonts w:ascii="仿宋" w:hAnsi="仿宋" w:eastAsia="仿宋" w:cs="仿宋"/>
          <w:spacing w:val="6"/>
          <w:sz w:val="28"/>
          <w:szCs w:val="28"/>
        </w:rPr>
        <w:t xml:space="preserve"> </w:t>
      </w:r>
      <w:r>
        <w:rPr>
          <w:rFonts w:ascii="仿宋" w:hAnsi="仿宋" w:eastAsia="仿宋" w:cs="仿宋"/>
          <w:spacing w:val="1"/>
          <w:sz w:val="28"/>
          <w:szCs w:val="28"/>
        </w:rPr>
        <w:t>度&gt;若干问题的解释》及其他法律法规的规定以及青海湖生</w:t>
      </w:r>
      <w:r>
        <w:rPr>
          <w:rFonts w:ascii="仿宋" w:hAnsi="仿宋" w:eastAsia="仿宋" w:cs="仿宋"/>
          <w:sz w:val="28"/>
          <w:szCs w:val="28"/>
        </w:rPr>
        <w:t xml:space="preserve">态保护基 </w:t>
      </w:r>
      <w:r>
        <w:rPr>
          <w:rFonts w:ascii="仿宋" w:hAnsi="仿宋" w:eastAsia="仿宋" w:cs="仿宋"/>
          <w:spacing w:val="-5"/>
          <w:sz w:val="28"/>
          <w:szCs w:val="28"/>
        </w:rPr>
        <w:t>金会（以下简称“基金会</w:t>
      </w:r>
      <w:r>
        <w:rPr>
          <w:rFonts w:ascii="仿宋" w:hAnsi="仿宋" w:eastAsia="仿宋" w:cs="仿宋"/>
          <w:spacing w:val="-103"/>
          <w:sz w:val="28"/>
          <w:szCs w:val="28"/>
        </w:rPr>
        <w:t xml:space="preserve"> </w:t>
      </w:r>
      <w:r>
        <w:rPr>
          <w:rFonts w:ascii="仿宋" w:hAnsi="仿宋" w:eastAsia="仿宋" w:cs="仿宋"/>
          <w:spacing w:val="-5"/>
          <w:sz w:val="28"/>
          <w:szCs w:val="28"/>
        </w:rPr>
        <w:t>”）章程，为保证基金会与关联方之间发生</w:t>
      </w:r>
      <w:r>
        <w:rPr>
          <w:rFonts w:ascii="仿宋" w:hAnsi="仿宋" w:eastAsia="仿宋" w:cs="仿宋"/>
          <w:sz w:val="28"/>
          <w:szCs w:val="28"/>
        </w:rPr>
        <w:t xml:space="preserve"> </w:t>
      </w:r>
      <w:r>
        <w:rPr>
          <w:rFonts w:ascii="仿宋" w:hAnsi="仿宋" w:eastAsia="仿宋" w:cs="仿宋"/>
          <w:spacing w:val="-4"/>
          <w:sz w:val="28"/>
          <w:szCs w:val="28"/>
        </w:rPr>
        <w:t>的关联交易符合公平、公正、公开原则，确保基金会关联交易不损害</w:t>
      </w:r>
      <w:r>
        <w:rPr>
          <w:rFonts w:ascii="仿宋" w:hAnsi="仿宋" w:eastAsia="仿宋" w:cs="仿宋"/>
          <w:spacing w:val="4"/>
          <w:sz w:val="28"/>
          <w:szCs w:val="28"/>
        </w:rPr>
        <w:t xml:space="preserve"> </w:t>
      </w:r>
      <w:r>
        <w:rPr>
          <w:rFonts w:ascii="仿宋" w:hAnsi="仿宋" w:eastAsia="仿宋" w:cs="仿宋"/>
          <w:spacing w:val="-2"/>
          <w:sz w:val="28"/>
          <w:szCs w:val="28"/>
        </w:rPr>
        <w:t>基金会的利益，特制定本制度。</w:t>
      </w:r>
    </w:p>
    <w:p w14:paraId="2004C798">
      <w:pPr>
        <w:spacing w:before="45" w:line="352" w:lineRule="auto"/>
        <w:ind w:left="40" w:right="13" w:firstLine="563"/>
        <w:rPr>
          <w:rFonts w:ascii="仿宋" w:hAnsi="仿宋" w:eastAsia="仿宋" w:cs="仿宋"/>
          <w:sz w:val="28"/>
          <w:szCs w:val="28"/>
        </w:rPr>
      </w:pPr>
      <w:r>
        <w:rPr>
          <w:rFonts w:ascii="仿宋" w:hAnsi="仿宋" w:eastAsia="仿宋" w:cs="仿宋"/>
          <w:b/>
          <w:bCs/>
          <w:sz w:val="28"/>
          <w:szCs w:val="28"/>
        </w:rPr>
        <w:t>第八十七条</w:t>
      </w:r>
      <w:r>
        <w:rPr>
          <w:rFonts w:ascii="仿宋" w:hAnsi="仿宋" w:eastAsia="仿宋" w:cs="仿宋"/>
          <w:sz w:val="28"/>
          <w:szCs w:val="28"/>
        </w:rPr>
        <w:t xml:space="preserve"> 基金会的关联交易，是指基金会和具有关联关系的 </w:t>
      </w:r>
      <w:r>
        <w:rPr>
          <w:rFonts w:ascii="仿宋" w:hAnsi="仿宋" w:eastAsia="仿宋" w:cs="仿宋"/>
          <w:spacing w:val="-2"/>
          <w:sz w:val="28"/>
          <w:szCs w:val="28"/>
        </w:rPr>
        <w:t>关联方之间发生的转移资源或义务的事项。</w:t>
      </w:r>
    </w:p>
    <w:p w14:paraId="23D9DBE6">
      <w:pPr>
        <w:spacing w:before="53" w:line="354" w:lineRule="auto"/>
        <w:ind w:left="38" w:right="13" w:firstLine="565"/>
        <w:rPr>
          <w:rFonts w:ascii="仿宋" w:hAnsi="仿宋" w:eastAsia="仿宋" w:cs="仿宋"/>
          <w:sz w:val="28"/>
          <w:szCs w:val="28"/>
        </w:rPr>
      </w:pPr>
      <w:r>
        <w:rPr>
          <w:rFonts w:ascii="仿宋" w:hAnsi="仿宋" w:eastAsia="仿宋" w:cs="仿宋"/>
          <w:b/>
          <w:bCs/>
          <w:sz w:val="28"/>
          <w:szCs w:val="28"/>
        </w:rPr>
        <w:t>第八十八条</w:t>
      </w:r>
      <w:r>
        <w:rPr>
          <w:rFonts w:ascii="仿宋" w:hAnsi="仿宋" w:eastAsia="仿宋" w:cs="仿宋"/>
          <w:sz w:val="28"/>
          <w:szCs w:val="28"/>
        </w:rPr>
        <w:t xml:space="preserve"> 青海湖生态保护基金会进行关联交易应当遵循以下 </w:t>
      </w:r>
      <w:r>
        <w:rPr>
          <w:rFonts w:ascii="仿宋" w:hAnsi="仿宋" w:eastAsia="仿宋" w:cs="仿宋"/>
          <w:spacing w:val="-8"/>
          <w:sz w:val="28"/>
          <w:szCs w:val="28"/>
        </w:rPr>
        <w:t>原则：</w:t>
      </w:r>
    </w:p>
    <w:p w14:paraId="1A660FE6">
      <w:pPr>
        <w:spacing w:before="43" w:line="223" w:lineRule="auto"/>
        <w:ind w:left="592"/>
        <w:rPr>
          <w:rFonts w:ascii="仿宋" w:hAnsi="仿宋" w:eastAsia="仿宋" w:cs="仿宋"/>
          <w:sz w:val="28"/>
          <w:szCs w:val="28"/>
        </w:rPr>
      </w:pPr>
      <w:r>
        <w:rPr>
          <w:rFonts w:ascii="仿宋" w:hAnsi="仿宋" w:eastAsia="仿宋" w:cs="仿宋"/>
          <w:spacing w:val="-11"/>
          <w:sz w:val="28"/>
          <w:szCs w:val="28"/>
        </w:rPr>
        <w:t>（一）公平、公开、公正的原则；</w:t>
      </w:r>
    </w:p>
    <w:p w14:paraId="0DC748BD">
      <w:pPr>
        <w:spacing w:before="224" w:line="223" w:lineRule="auto"/>
        <w:ind w:left="592"/>
        <w:rPr>
          <w:rFonts w:ascii="仿宋" w:hAnsi="仿宋" w:eastAsia="仿宋" w:cs="仿宋"/>
          <w:sz w:val="28"/>
          <w:szCs w:val="28"/>
        </w:rPr>
      </w:pPr>
      <w:r>
        <w:rPr>
          <w:rFonts w:ascii="仿宋" w:hAnsi="仿宋" w:eastAsia="仿宋" w:cs="仿宋"/>
          <w:spacing w:val="-13"/>
          <w:sz w:val="28"/>
          <w:szCs w:val="28"/>
        </w:rPr>
        <w:t>（二）平等、</w:t>
      </w:r>
      <w:r>
        <w:rPr>
          <w:rFonts w:ascii="仿宋" w:hAnsi="仿宋" w:eastAsia="仿宋" w:cs="仿宋"/>
          <w:spacing w:val="-64"/>
          <w:sz w:val="28"/>
          <w:szCs w:val="28"/>
        </w:rPr>
        <w:t xml:space="preserve"> </w:t>
      </w:r>
      <w:r>
        <w:rPr>
          <w:rFonts w:ascii="仿宋" w:hAnsi="仿宋" w:eastAsia="仿宋" w:cs="仿宋"/>
          <w:spacing w:val="-13"/>
          <w:sz w:val="28"/>
          <w:szCs w:val="28"/>
        </w:rPr>
        <w:t>自愿、有偿、等价的原则；</w:t>
      </w:r>
    </w:p>
    <w:p w14:paraId="27C1CD1D">
      <w:pPr>
        <w:spacing w:before="221" w:line="223" w:lineRule="auto"/>
        <w:ind w:left="592"/>
        <w:rPr>
          <w:rFonts w:ascii="仿宋" w:hAnsi="仿宋" w:eastAsia="仿宋" w:cs="仿宋"/>
          <w:sz w:val="28"/>
          <w:szCs w:val="28"/>
        </w:rPr>
      </w:pPr>
      <w:r>
        <w:rPr>
          <w:rFonts w:ascii="仿宋" w:hAnsi="仿宋" w:eastAsia="仿宋" w:cs="仿宋"/>
          <w:spacing w:val="-8"/>
          <w:sz w:val="28"/>
          <w:szCs w:val="28"/>
        </w:rPr>
        <w:t>（三）不得利用关联关系损害基金会合法权益；</w:t>
      </w:r>
    </w:p>
    <w:p w14:paraId="556FC6C7">
      <w:pPr>
        <w:spacing w:before="220" w:line="297" w:lineRule="auto"/>
        <w:ind w:left="40" w:right="13" w:firstLine="551"/>
        <w:rPr>
          <w:rFonts w:ascii="仿宋" w:hAnsi="仿宋" w:eastAsia="仿宋" w:cs="仿宋"/>
          <w:sz w:val="28"/>
          <w:szCs w:val="28"/>
        </w:rPr>
      </w:pPr>
      <w:r>
        <w:rPr>
          <w:rFonts w:ascii="仿宋" w:hAnsi="仿宋" w:eastAsia="仿宋" w:cs="仿宋"/>
          <w:spacing w:val="-4"/>
          <w:sz w:val="28"/>
          <w:szCs w:val="28"/>
        </w:rPr>
        <w:t>（四）基金会做关联交易表决时候，有必要的可以聘请专业的财</w:t>
      </w:r>
      <w:r>
        <w:rPr>
          <w:rFonts w:ascii="仿宋" w:hAnsi="仿宋" w:eastAsia="仿宋" w:cs="仿宋"/>
          <w:sz w:val="28"/>
          <w:szCs w:val="28"/>
        </w:rPr>
        <w:t xml:space="preserve"> </w:t>
      </w:r>
      <w:r>
        <w:rPr>
          <w:rFonts w:ascii="仿宋" w:hAnsi="仿宋" w:eastAsia="仿宋" w:cs="仿宋"/>
          <w:spacing w:val="-3"/>
          <w:sz w:val="28"/>
          <w:szCs w:val="28"/>
        </w:rPr>
        <w:t>务、法律机构出具专业意见。</w:t>
      </w:r>
    </w:p>
    <w:p w14:paraId="00CFD323">
      <w:pPr>
        <w:spacing w:before="221" w:line="223" w:lineRule="auto"/>
        <w:ind w:left="1952"/>
        <w:rPr>
          <w:rFonts w:ascii="黑体" w:hAnsi="黑体" w:eastAsia="黑体" w:cs="黑体"/>
          <w:sz w:val="28"/>
          <w:szCs w:val="28"/>
        </w:rPr>
      </w:pPr>
      <w:r>
        <w:rPr>
          <w:rFonts w:ascii="仿宋" w:hAnsi="仿宋" w:eastAsia="仿宋" w:cs="仿宋"/>
          <w:spacing w:val="-3"/>
          <w:sz w:val="28"/>
          <w:szCs w:val="28"/>
        </w:rPr>
        <w:t xml:space="preserve">第二十九章  </w:t>
      </w:r>
      <w:r>
        <w:rPr>
          <w:rFonts w:ascii="黑体" w:hAnsi="黑体" w:eastAsia="黑体" w:cs="黑体"/>
          <w:b/>
          <w:bCs/>
          <w:spacing w:val="-3"/>
          <w:sz w:val="28"/>
          <w:szCs w:val="28"/>
        </w:rPr>
        <w:t>关联方和关联交易范围</w:t>
      </w:r>
    </w:p>
    <w:p w14:paraId="092BEBBD">
      <w:pPr>
        <w:spacing w:before="220" w:line="362" w:lineRule="auto"/>
        <w:ind w:left="31" w:right="13" w:firstLine="572"/>
        <w:jc w:val="both"/>
        <w:rPr>
          <w:rFonts w:ascii="仿宋" w:hAnsi="仿宋" w:eastAsia="仿宋" w:cs="仿宋"/>
          <w:sz w:val="28"/>
          <w:szCs w:val="28"/>
        </w:rPr>
      </w:pPr>
      <w:r>
        <w:rPr>
          <w:rFonts w:ascii="仿宋" w:hAnsi="仿宋" w:eastAsia="仿宋" w:cs="仿宋"/>
          <w:b/>
          <w:bCs/>
          <w:sz w:val="28"/>
          <w:szCs w:val="28"/>
        </w:rPr>
        <w:t>第八十九条</w:t>
      </w:r>
      <w:r>
        <w:rPr>
          <w:rFonts w:ascii="仿宋" w:hAnsi="仿宋" w:eastAsia="仿宋" w:cs="仿宋"/>
          <w:sz w:val="28"/>
          <w:szCs w:val="28"/>
        </w:rPr>
        <w:t xml:space="preserve"> 本制度所称的关联方，是指基金会的发起人、主要 </w:t>
      </w:r>
      <w:r>
        <w:rPr>
          <w:rFonts w:ascii="仿宋" w:hAnsi="仿宋" w:eastAsia="仿宋" w:cs="仿宋"/>
          <w:spacing w:val="-4"/>
          <w:sz w:val="28"/>
          <w:szCs w:val="28"/>
        </w:rPr>
        <w:t>捐赠人、理事、理事及监事主要来源单位、基金会投资的被投资方以</w:t>
      </w:r>
      <w:r>
        <w:rPr>
          <w:rFonts w:ascii="仿宋" w:hAnsi="仿宋" w:eastAsia="仿宋" w:cs="仿宋"/>
          <w:spacing w:val="7"/>
          <w:sz w:val="28"/>
          <w:szCs w:val="28"/>
        </w:rPr>
        <w:t xml:space="preserve"> </w:t>
      </w:r>
      <w:r>
        <w:rPr>
          <w:rFonts w:ascii="仿宋" w:hAnsi="仿宋" w:eastAsia="仿宋" w:cs="仿宋"/>
          <w:spacing w:val="-4"/>
          <w:sz w:val="28"/>
          <w:szCs w:val="28"/>
        </w:rPr>
        <w:t>及其他与基金会之间存在控制、共同控制或者重大影响关系的个人或</w:t>
      </w:r>
      <w:r>
        <w:rPr>
          <w:rFonts w:ascii="仿宋" w:hAnsi="仿宋" w:eastAsia="仿宋" w:cs="仿宋"/>
          <w:spacing w:val="7"/>
          <w:sz w:val="28"/>
          <w:szCs w:val="28"/>
        </w:rPr>
        <w:t xml:space="preserve"> </w:t>
      </w:r>
      <w:r>
        <w:rPr>
          <w:rFonts w:ascii="仿宋" w:hAnsi="仿宋" w:eastAsia="仿宋" w:cs="仿宋"/>
          <w:spacing w:val="-2"/>
          <w:sz w:val="28"/>
          <w:szCs w:val="28"/>
        </w:rPr>
        <w:t>者组织与基金会之间的关系。</w:t>
      </w:r>
    </w:p>
    <w:p w14:paraId="37D9A2B6">
      <w:pPr>
        <w:spacing w:before="47" w:line="353" w:lineRule="auto"/>
        <w:ind w:left="33" w:right="13" w:firstLine="570"/>
        <w:rPr>
          <w:rFonts w:ascii="仿宋" w:hAnsi="仿宋" w:eastAsia="仿宋" w:cs="仿宋"/>
          <w:sz w:val="28"/>
          <w:szCs w:val="28"/>
        </w:rPr>
      </w:pPr>
      <w:r>
        <w:rPr>
          <w:rFonts w:ascii="仿宋" w:hAnsi="仿宋" w:eastAsia="仿宋" w:cs="仿宋"/>
          <w:b/>
          <w:bCs/>
          <w:sz w:val="28"/>
          <w:szCs w:val="28"/>
        </w:rPr>
        <w:t>第九十条</w:t>
      </w:r>
      <w:r>
        <w:rPr>
          <w:rFonts w:ascii="仿宋" w:hAnsi="仿宋" w:eastAsia="仿宋" w:cs="仿宋"/>
          <w:sz w:val="28"/>
          <w:szCs w:val="28"/>
        </w:rPr>
        <w:t xml:space="preserve"> 关联方具体包括：具有关联关系的自然人、法人和其</w:t>
      </w:r>
      <w:r>
        <w:rPr>
          <w:rFonts w:ascii="仿宋" w:hAnsi="仿宋" w:eastAsia="仿宋" w:cs="仿宋"/>
          <w:spacing w:val="3"/>
          <w:sz w:val="28"/>
          <w:szCs w:val="28"/>
        </w:rPr>
        <w:t xml:space="preserve"> </w:t>
      </w:r>
      <w:r>
        <w:rPr>
          <w:rFonts w:ascii="仿宋" w:hAnsi="仿宋" w:eastAsia="仿宋" w:cs="仿宋"/>
          <w:spacing w:val="-5"/>
          <w:sz w:val="28"/>
          <w:szCs w:val="28"/>
        </w:rPr>
        <w:t>他组织。</w:t>
      </w:r>
    </w:p>
    <w:p w14:paraId="1748ED0F">
      <w:pPr>
        <w:spacing w:before="47" w:line="222" w:lineRule="auto"/>
        <w:ind w:left="592"/>
        <w:rPr>
          <w:rFonts w:ascii="仿宋" w:hAnsi="仿宋" w:eastAsia="仿宋" w:cs="仿宋"/>
          <w:sz w:val="28"/>
          <w:szCs w:val="28"/>
        </w:rPr>
      </w:pPr>
      <w:r>
        <w:rPr>
          <w:rFonts w:ascii="仿宋" w:hAnsi="仿宋" w:eastAsia="仿宋" w:cs="仿宋"/>
          <w:spacing w:val="-7"/>
          <w:sz w:val="28"/>
          <w:szCs w:val="28"/>
        </w:rPr>
        <w:t>（一）本制度所指的关联交易包括但不限于下列事项：</w:t>
      </w:r>
    </w:p>
    <w:p w14:paraId="7D18E3EF">
      <w:pPr>
        <w:spacing w:line="222" w:lineRule="auto"/>
        <w:rPr>
          <w:rFonts w:ascii="仿宋" w:hAnsi="仿宋" w:eastAsia="仿宋" w:cs="仿宋"/>
          <w:sz w:val="28"/>
          <w:szCs w:val="28"/>
        </w:rPr>
        <w:sectPr>
          <w:pgSz w:w="11906" w:h="16839"/>
          <w:pgMar w:top="400" w:right="1785" w:bottom="400" w:left="1785" w:header="0" w:footer="850" w:gutter="0"/>
          <w:pgNumType w:fmt="decimal"/>
          <w:cols w:space="720" w:num="1"/>
        </w:sectPr>
      </w:pPr>
    </w:p>
    <w:p w14:paraId="569E3703">
      <w:pPr>
        <w:spacing w:line="287" w:lineRule="auto"/>
        <w:rPr>
          <w:rFonts w:ascii="Arial"/>
          <w:sz w:val="21"/>
        </w:rPr>
      </w:pPr>
    </w:p>
    <w:p w14:paraId="6696A14A">
      <w:pPr>
        <w:spacing w:line="287" w:lineRule="auto"/>
        <w:rPr>
          <w:rFonts w:ascii="Arial"/>
          <w:sz w:val="21"/>
        </w:rPr>
      </w:pPr>
    </w:p>
    <w:p w14:paraId="7071538A">
      <w:pPr>
        <w:spacing w:line="287" w:lineRule="auto"/>
        <w:rPr>
          <w:rFonts w:ascii="Arial"/>
          <w:sz w:val="21"/>
        </w:rPr>
      </w:pPr>
    </w:p>
    <w:p w14:paraId="69A414C7">
      <w:pPr>
        <w:spacing w:line="288" w:lineRule="auto"/>
        <w:rPr>
          <w:rFonts w:ascii="Arial"/>
          <w:sz w:val="21"/>
        </w:rPr>
      </w:pPr>
    </w:p>
    <w:p w14:paraId="7FE838CF">
      <w:pPr>
        <w:spacing w:before="91" w:line="296" w:lineRule="auto"/>
        <w:ind w:left="34" w:right="31" w:firstLine="557"/>
        <w:rPr>
          <w:rFonts w:ascii="仿宋" w:hAnsi="仿宋" w:eastAsia="仿宋" w:cs="仿宋"/>
          <w:sz w:val="28"/>
          <w:szCs w:val="28"/>
        </w:rPr>
      </w:pPr>
      <w:r>
        <w:rPr>
          <w:rFonts w:ascii="仿宋" w:hAnsi="仿宋" w:eastAsia="仿宋" w:cs="仿宋"/>
          <w:spacing w:val="-6"/>
          <w:sz w:val="28"/>
          <w:szCs w:val="28"/>
        </w:rPr>
        <w:t>（二）基金会出资购买或向基金会销售商品或者服务；</w:t>
      </w:r>
      <w:r>
        <w:rPr>
          <w:rFonts w:ascii="仿宋" w:hAnsi="仿宋" w:eastAsia="仿宋" w:cs="仿宋"/>
          <w:spacing w:val="-82"/>
          <w:sz w:val="28"/>
          <w:szCs w:val="28"/>
        </w:rPr>
        <w:t xml:space="preserve"> </w:t>
      </w:r>
      <w:r>
        <w:rPr>
          <w:rFonts w:ascii="仿宋" w:hAnsi="仿宋" w:eastAsia="仿宋" w:cs="仿宋"/>
          <w:spacing w:val="-6"/>
          <w:sz w:val="28"/>
          <w:szCs w:val="28"/>
        </w:rPr>
        <w:t>向</w:t>
      </w:r>
      <w:r>
        <w:rPr>
          <w:rFonts w:ascii="仿宋" w:hAnsi="仿宋" w:eastAsia="仿宋" w:cs="仿宋"/>
          <w:spacing w:val="-7"/>
          <w:sz w:val="28"/>
          <w:szCs w:val="28"/>
        </w:rPr>
        <w:t>基金会</w:t>
      </w:r>
      <w:r>
        <w:rPr>
          <w:rFonts w:ascii="仿宋" w:hAnsi="仿宋" w:eastAsia="仿宋" w:cs="仿宋"/>
          <w:sz w:val="28"/>
          <w:szCs w:val="28"/>
        </w:rPr>
        <w:t xml:space="preserve"> </w:t>
      </w:r>
      <w:r>
        <w:rPr>
          <w:rFonts w:ascii="仿宋" w:hAnsi="仿宋" w:eastAsia="仿宋" w:cs="仿宋"/>
          <w:spacing w:val="-1"/>
          <w:sz w:val="28"/>
          <w:szCs w:val="28"/>
        </w:rPr>
        <w:t>提供或者需要支付酬劳的劳务；提供或接受捐赠;</w:t>
      </w:r>
    </w:p>
    <w:p w14:paraId="24ACFB36">
      <w:pPr>
        <w:spacing w:before="221" w:line="222" w:lineRule="auto"/>
        <w:ind w:left="592"/>
        <w:rPr>
          <w:rFonts w:ascii="仿宋" w:hAnsi="仿宋" w:eastAsia="仿宋" w:cs="仿宋"/>
          <w:sz w:val="28"/>
          <w:szCs w:val="28"/>
        </w:rPr>
      </w:pPr>
      <w:r>
        <w:rPr>
          <w:rFonts w:ascii="仿宋" w:hAnsi="仿宋" w:eastAsia="仿宋" w:cs="仿宋"/>
          <w:spacing w:val="-15"/>
          <w:sz w:val="28"/>
          <w:szCs w:val="28"/>
        </w:rPr>
        <w:t>（三）有偿代理、租赁；</w:t>
      </w:r>
    </w:p>
    <w:p w14:paraId="6FF90CC6">
      <w:pPr>
        <w:spacing w:before="224" w:line="223" w:lineRule="auto"/>
        <w:ind w:left="592"/>
        <w:rPr>
          <w:rFonts w:ascii="仿宋" w:hAnsi="仿宋" w:eastAsia="仿宋" w:cs="仿宋"/>
          <w:sz w:val="28"/>
          <w:szCs w:val="28"/>
        </w:rPr>
      </w:pPr>
      <w:r>
        <w:rPr>
          <w:rFonts w:ascii="仿宋" w:hAnsi="仿宋" w:eastAsia="仿宋" w:cs="仿宋"/>
          <w:spacing w:val="-11"/>
          <w:sz w:val="28"/>
          <w:szCs w:val="28"/>
        </w:rPr>
        <w:t>（四）基金会向关联方提供资金；</w:t>
      </w:r>
    </w:p>
    <w:p w14:paraId="292BCEDC">
      <w:pPr>
        <w:spacing w:before="220" w:line="222" w:lineRule="auto"/>
        <w:ind w:left="592"/>
        <w:rPr>
          <w:rFonts w:ascii="仿宋" w:hAnsi="仿宋" w:eastAsia="仿宋" w:cs="仿宋"/>
          <w:sz w:val="28"/>
          <w:szCs w:val="28"/>
        </w:rPr>
      </w:pPr>
      <w:r>
        <w:rPr>
          <w:rFonts w:ascii="仿宋" w:hAnsi="仿宋" w:eastAsia="仿宋" w:cs="仿宋"/>
          <w:spacing w:val="-8"/>
          <w:sz w:val="28"/>
          <w:szCs w:val="28"/>
        </w:rPr>
        <w:t>（五）委托关联方为基金会提供保值增值业务；</w:t>
      </w:r>
    </w:p>
    <w:p w14:paraId="6EC46F49">
      <w:pPr>
        <w:spacing w:before="223" w:line="223" w:lineRule="auto"/>
        <w:ind w:left="592"/>
        <w:rPr>
          <w:rFonts w:ascii="仿宋" w:hAnsi="仿宋" w:eastAsia="仿宋" w:cs="仿宋"/>
          <w:sz w:val="28"/>
          <w:szCs w:val="28"/>
        </w:rPr>
      </w:pPr>
      <w:r>
        <w:rPr>
          <w:rFonts w:ascii="仿宋" w:hAnsi="仿宋" w:eastAsia="仿宋" w:cs="仿宋"/>
          <w:spacing w:val="-16"/>
          <w:sz w:val="28"/>
          <w:szCs w:val="28"/>
        </w:rPr>
        <w:t>（六）授权许可协议；</w:t>
      </w:r>
    </w:p>
    <w:p w14:paraId="5F4D450E">
      <w:pPr>
        <w:spacing w:before="223" w:line="296" w:lineRule="auto"/>
        <w:ind w:left="2161" w:right="2075" w:hanging="1569"/>
        <w:rPr>
          <w:rFonts w:ascii="黑体" w:hAnsi="黑体" w:eastAsia="黑体" w:cs="黑体"/>
          <w:sz w:val="28"/>
          <w:szCs w:val="28"/>
        </w:rPr>
      </w:pPr>
      <w:r>
        <w:rPr>
          <w:rFonts w:ascii="仿宋" w:hAnsi="仿宋" w:eastAsia="仿宋" w:cs="仿宋"/>
          <w:spacing w:val="-10"/>
          <w:sz w:val="28"/>
          <w:szCs w:val="28"/>
        </w:rPr>
        <w:t>（七）本制度禁止由基金会向关联方提供担保。</w:t>
      </w:r>
      <w:r>
        <w:rPr>
          <w:rFonts w:ascii="仿宋" w:hAnsi="仿宋" w:eastAsia="仿宋" w:cs="仿宋"/>
          <w:spacing w:val="13"/>
          <w:sz w:val="28"/>
          <w:szCs w:val="28"/>
        </w:rPr>
        <w:t xml:space="preserve"> </w:t>
      </w:r>
      <w:r>
        <w:rPr>
          <w:rFonts w:ascii="仿宋" w:hAnsi="仿宋" w:eastAsia="仿宋" w:cs="仿宋"/>
          <w:spacing w:val="-5"/>
          <w:sz w:val="28"/>
          <w:szCs w:val="28"/>
        </w:rPr>
        <w:t xml:space="preserve">第三十章 </w:t>
      </w:r>
      <w:r>
        <w:rPr>
          <w:rFonts w:ascii="黑体" w:hAnsi="黑体" w:eastAsia="黑体" w:cs="黑体"/>
          <w:b/>
          <w:bCs/>
          <w:spacing w:val="-5"/>
          <w:sz w:val="28"/>
          <w:szCs w:val="28"/>
        </w:rPr>
        <w:t>第三章</w:t>
      </w:r>
      <w:r>
        <w:rPr>
          <w:rFonts w:ascii="黑体" w:hAnsi="黑体" w:eastAsia="黑体" w:cs="黑体"/>
          <w:spacing w:val="11"/>
          <w:sz w:val="28"/>
          <w:szCs w:val="28"/>
        </w:rPr>
        <w:t xml:space="preserve">  </w:t>
      </w:r>
      <w:r>
        <w:rPr>
          <w:rFonts w:ascii="黑体" w:hAnsi="黑体" w:eastAsia="黑体" w:cs="黑体"/>
          <w:b/>
          <w:bCs/>
          <w:spacing w:val="-5"/>
          <w:sz w:val="28"/>
          <w:szCs w:val="28"/>
        </w:rPr>
        <w:t>关联交易决策</w:t>
      </w:r>
    </w:p>
    <w:p w14:paraId="49619AB4">
      <w:pPr>
        <w:spacing w:before="220" w:line="222" w:lineRule="auto"/>
        <w:ind w:left="603"/>
        <w:rPr>
          <w:rFonts w:ascii="仿宋" w:hAnsi="仿宋" w:eastAsia="仿宋" w:cs="仿宋"/>
          <w:sz w:val="28"/>
          <w:szCs w:val="28"/>
        </w:rPr>
      </w:pPr>
      <w:r>
        <w:rPr>
          <w:rFonts w:ascii="仿宋" w:hAnsi="仿宋" w:eastAsia="仿宋" w:cs="仿宋"/>
          <w:b/>
          <w:bCs/>
          <w:spacing w:val="-2"/>
          <w:sz w:val="28"/>
          <w:szCs w:val="28"/>
        </w:rPr>
        <w:t>第九十一条</w:t>
      </w:r>
      <w:r>
        <w:rPr>
          <w:rFonts w:ascii="仿宋" w:hAnsi="仿宋" w:eastAsia="仿宋" w:cs="仿宋"/>
          <w:spacing w:val="-2"/>
          <w:sz w:val="28"/>
          <w:szCs w:val="28"/>
        </w:rPr>
        <w:t xml:space="preserve"> 关联交易决策应符合以下条件：</w:t>
      </w:r>
    </w:p>
    <w:p w14:paraId="4F65A8C6">
      <w:pPr>
        <w:spacing w:before="227" w:line="332" w:lineRule="auto"/>
        <w:ind w:left="32" w:firstLine="420"/>
        <w:rPr>
          <w:rFonts w:ascii="仿宋" w:hAnsi="仿宋" w:eastAsia="仿宋" w:cs="仿宋"/>
          <w:sz w:val="28"/>
          <w:szCs w:val="28"/>
        </w:rPr>
      </w:pPr>
      <w:r>
        <w:rPr>
          <w:rFonts w:ascii="仿宋" w:hAnsi="仿宋" w:eastAsia="仿宋" w:cs="仿宋"/>
          <w:spacing w:val="1"/>
          <w:sz w:val="28"/>
          <w:szCs w:val="28"/>
        </w:rPr>
        <w:t>（一）关联交易属于《基金会管理条例》或《青海湖生态保</w:t>
      </w:r>
      <w:r>
        <w:rPr>
          <w:rFonts w:ascii="仿宋" w:hAnsi="仿宋" w:eastAsia="仿宋" w:cs="仿宋"/>
          <w:sz w:val="28"/>
          <w:szCs w:val="28"/>
        </w:rPr>
        <w:t xml:space="preserve">护基 </w:t>
      </w:r>
      <w:r>
        <w:rPr>
          <w:rFonts w:ascii="仿宋" w:hAnsi="仿宋" w:eastAsia="仿宋" w:cs="仿宋"/>
          <w:spacing w:val="-4"/>
          <w:sz w:val="28"/>
          <w:szCs w:val="28"/>
        </w:rPr>
        <w:t>金会章程》规定的重大事项以及理事会认为其他应当由理事会决策的</w:t>
      </w:r>
      <w:r>
        <w:rPr>
          <w:rFonts w:ascii="仿宋" w:hAnsi="仿宋" w:eastAsia="仿宋" w:cs="仿宋"/>
          <w:spacing w:val="6"/>
          <w:sz w:val="28"/>
          <w:szCs w:val="28"/>
        </w:rPr>
        <w:t xml:space="preserve"> </w:t>
      </w:r>
      <w:r>
        <w:rPr>
          <w:rFonts w:ascii="仿宋" w:hAnsi="仿宋" w:eastAsia="仿宋" w:cs="仿宋"/>
          <w:spacing w:val="-4"/>
          <w:sz w:val="28"/>
          <w:szCs w:val="28"/>
        </w:rPr>
        <w:t>关联交易情形，需按规定提请基金会理事会审议；理事会会议应有三</w:t>
      </w:r>
      <w:r>
        <w:rPr>
          <w:rFonts w:ascii="仿宋" w:hAnsi="仿宋" w:eastAsia="仿宋" w:cs="仿宋"/>
          <w:spacing w:val="7"/>
          <w:sz w:val="28"/>
          <w:szCs w:val="28"/>
        </w:rPr>
        <w:t xml:space="preserve"> </w:t>
      </w:r>
      <w:r>
        <w:rPr>
          <w:rFonts w:ascii="仿宋" w:hAnsi="仿宋" w:eastAsia="仿宋" w:cs="仿宋"/>
          <w:spacing w:val="-3"/>
          <w:sz w:val="28"/>
          <w:szCs w:val="28"/>
        </w:rPr>
        <w:t>分之二以上无关联关系理事出席，表决程序须符合基金会章程规定；</w:t>
      </w:r>
    </w:p>
    <w:p w14:paraId="7D181D14">
      <w:pPr>
        <w:spacing w:before="223" w:line="296" w:lineRule="auto"/>
        <w:ind w:left="41" w:right="31" w:firstLine="411"/>
        <w:rPr>
          <w:rFonts w:ascii="仿宋" w:hAnsi="仿宋" w:eastAsia="仿宋" w:cs="仿宋"/>
          <w:sz w:val="28"/>
          <w:szCs w:val="28"/>
        </w:rPr>
      </w:pPr>
      <w:r>
        <w:rPr>
          <w:rFonts w:ascii="仿宋" w:hAnsi="仿宋" w:eastAsia="仿宋" w:cs="仿宋"/>
          <w:spacing w:val="1"/>
          <w:sz w:val="28"/>
          <w:szCs w:val="28"/>
        </w:rPr>
        <w:t>（二）关联理事不得参与关联交易的表决，但是可以参与关</w:t>
      </w:r>
      <w:r>
        <w:rPr>
          <w:rFonts w:ascii="仿宋" w:hAnsi="仿宋" w:eastAsia="仿宋" w:cs="仿宋"/>
          <w:sz w:val="28"/>
          <w:szCs w:val="28"/>
        </w:rPr>
        <w:t xml:space="preserve">联交 </w:t>
      </w:r>
      <w:r>
        <w:rPr>
          <w:rFonts w:ascii="仿宋" w:hAnsi="仿宋" w:eastAsia="仿宋" w:cs="仿宋"/>
          <w:spacing w:val="-4"/>
          <w:sz w:val="28"/>
          <w:szCs w:val="28"/>
        </w:rPr>
        <w:t>易决策的讨论；</w:t>
      </w:r>
    </w:p>
    <w:p w14:paraId="045AD2C0">
      <w:pPr>
        <w:spacing w:before="225" w:line="320" w:lineRule="auto"/>
        <w:ind w:left="32" w:right="31" w:firstLine="420"/>
        <w:rPr>
          <w:rFonts w:ascii="仿宋" w:hAnsi="仿宋" w:eastAsia="仿宋" w:cs="仿宋"/>
          <w:sz w:val="28"/>
          <w:szCs w:val="28"/>
        </w:rPr>
      </w:pPr>
      <w:r>
        <w:rPr>
          <w:rFonts w:ascii="仿宋" w:hAnsi="仿宋" w:eastAsia="仿宋" w:cs="仿宋"/>
          <w:spacing w:val="-1"/>
          <w:sz w:val="28"/>
          <w:szCs w:val="28"/>
        </w:rPr>
        <w:t>（三）不需要提请基金会理事会审议的关联交易情形，</w:t>
      </w:r>
      <w:r>
        <w:rPr>
          <w:rFonts w:ascii="仿宋" w:hAnsi="仿宋" w:eastAsia="仿宋" w:cs="仿宋"/>
          <w:spacing w:val="-82"/>
          <w:sz w:val="28"/>
          <w:szCs w:val="28"/>
        </w:rPr>
        <w:t xml:space="preserve"> </w:t>
      </w:r>
      <w:r>
        <w:rPr>
          <w:rFonts w:ascii="仿宋" w:hAnsi="仿宋" w:eastAsia="仿宋" w:cs="仿宋"/>
          <w:spacing w:val="-2"/>
          <w:sz w:val="28"/>
          <w:szCs w:val="28"/>
        </w:rPr>
        <w:t>由理事会</w:t>
      </w:r>
      <w:r>
        <w:rPr>
          <w:rFonts w:ascii="仿宋" w:hAnsi="仿宋" w:eastAsia="仿宋" w:cs="仿宋"/>
          <w:sz w:val="28"/>
          <w:szCs w:val="28"/>
        </w:rPr>
        <w:t xml:space="preserve"> </w:t>
      </w:r>
      <w:r>
        <w:rPr>
          <w:rFonts w:ascii="仿宋" w:hAnsi="仿宋" w:eastAsia="仿宋" w:cs="仿宋"/>
          <w:spacing w:val="-4"/>
          <w:sz w:val="28"/>
          <w:szCs w:val="28"/>
        </w:rPr>
        <w:t>授权秘书处组成关联交易评审小组进行决策，定期由秘书处报理事会</w:t>
      </w:r>
      <w:r>
        <w:rPr>
          <w:rFonts w:ascii="仿宋" w:hAnsi="仿宋" w:eastAsia="仿宋" w:cs="仿宋"/>
          <w:spacing w:val="7"/>
          <w:sz w:val="28"/>
          <w:szCs w:val="28"/>
        </w:rPr>
        <w:t xml:space="preserve"> </w:t>
      </w:r>
      <w:r>
        <w:rPr>
          <w:rFonts w:ascii="仿宋" w:hAnsi="仿宋" w:eastAsia="仿宋" w:cs="仿宋"/>
          <w:spacing w:val="-6"/>
          <w:sz w:val="28"/>
          <w:szCs w:val="28"/>
        </w:rPr>
        <w:t>知悉。</w:t>
      </w:r>
    </w:p>
    <w:p w14:paraId="4EA3854E">
      <w:pPr>
        <w:spacing w:before="221" w:line="355" w:lineRule="auto"/>
        <w:ind w:left="33" w:right="31" w:firstLine="570"/>
        <w:rPr>
          <w:rFonts w:ascii="仿宋" w:hAnsi="仿宋" w:eastAsia="仿宋" w:cs="仿宋"/>
          <w:sz w:val="28"/>
          <w:szCs w:val="28"/>
        </w:rPr>
      </w:pPr>
      <w:r>
        <w:rPr>
          <w:rFonts w:ascii="仿宋" w:hAnsi="仿宋" w:eastAsia="仿宋" w:cs="仿宋"/>
          <w:b/>
          <w:bCs/>
          <w:spacing w:val="10"/>
          <w:sz w:val="28"/>
          <w:szCs w:val="28"/>
        </w:rPr>
        <w:t>第九十二条</w:t>
      </w:r>
      <w:r>
        <w:rPr>
          <w:rFonts w:ascii="仿宋" w:hAnsi="仿宋" w:eastAsia="仿宋" w:cs="仿宋"/>
          <w:spacing w:val="10"/>
          <w:sz w:val="28"/>
          <w:szCs w:val="28"/>
        </w:rPr>
        <w:t xml:space="preserve"> 不需要提请基金会理事会审议的关联交易情形包 </w:t>
      </w:r>
      <w:r>
        <w:rPr>
          <w:rFonts w:ascii="仿宋" w:hAnsi="仿宋" w:eastAsia="仿宋" w:cs="仿宋"/>
          <w:spacing w:val="-10"/>
          <w:sz w:val="28"/>
          <w:szCs w:val="28"/>
        </w:rPr>
        <w:t>括：</w:t>
      </w:r>
    </w:p>
    <w:p w14:paraId="4986A02D">
      <w:pPr>
        <w:spacing w:before="43" w:line="223" w:lineRule="auto"/>
        <w:ind w:left="592"/>
        <w:rPr>
          <w:rFonts w:ascii="仿宋" w:hAnsi="仿宋" w:eastAsia="仿宋" w:cs="仿宋"/>
          <w:sz w:val="28"/>
          <w:szCs w:val="28"/>
        </w:rPr>
      </w:pPr>
      <w:r>
        <w:rPr>
          <w:rFonts w:ascii="仿宋" w:hAnsi="仿宋" w:eastAsia="仿宋" w:cs="仿宋"/>
          <w:spacing w:val="-12"/>
          <w:sz w:val="28"/>
          <w:szCs w:val="28"/>
        </w:rPr>
        <w:t>（一）基金会接受关联方捐赠；</w:t>
      </w:r>
    </w:p>
    <w:p w14:paraId="5E1F7793">
      <w:pPr>
        <w:spacing w:before="223" w:line="222" w:lineRule="auto"/>
        <w:ind w:left="592"/>
        <w:rPr>
          <w:rFonts w:ascii="仿宋" w:hAnsi="仿宋" w:eastAsia="仿宋" w:cs="仿宋"/>
          <w:sz w:val="28"/>
          <w:szCs w:val="28"/>
        </w:rPr>
      </w:pPr>
      <w:r>
        <w:rPr>
          <w:rFonts w:ascii="仿宋" w:hAnsi="仿宋" w:eastAsia="仿宋" w:cs="仿宋"/>
          <w:spacing w:val="-8"/>
          <w:sz w:val="28"/>
          <w:szCs w:val="28"/>
        </w:rPr>
        <w:t>（二）基金会向关联方购买或出售商品或服务；</w:t>
      </w:r>
    </w:p>
    <w:p w14:paraId="0C1D552C">
      <w:pPr>
        <w:spacing w:before="222" w:line="222" w:lineRule="auto"/>
        <w:ind w:left="592"/>
        <w:rPr>
          <w:rFonts w:ascii="仿宋" w:hAnsi="仿宋" w:eastAsia="仿宋" w:cs="仿宋"/>
          <w:sz w:val="28"/>
          <w:szCs w:val="28"/>
        </w:rPr>
      </w:pPr>
      <w:r>
        <w:rPr>
          <w:rFonts w:ascii="仿宋" w:hAnsi="仿宋" w:eastAsia="仿宋" w:cs="仿宋"/>
          <w:spacing w:val="-10"/>
          <w:sz w:val="28"/>
          <w:szCs w:val="28"/>
        </w:rPr>
        <w:t>（三）基金会委托关联方进行投资；</w:t>
      </w:r>
    </w:p>
    <w:p w14:paraId="319F076E">
      <w:pPr>
        <w:spacing w:before="224" w:line="223" w:lineRule="auto"/>
        <w:ind w:left="592"/>
        <w:rPr>
          <w:rFonts w:ascii="仿宋" w:hAnsi="仿宋" w:eastAsia="仿宋" w:cs="仿宋"/>
          <w:sz w:val="28"/>
          <w:szCs w:val="28"/>
        </w:rPr>
      </w:pPr>
      <w:r>
        <w:rPr>
          <w:rFonts w:ascii="仿宋" w:hAnsi="仿宋" w:eastAsia="仿宋" w:cs="仿宋"/>
          <w:spacing w:val="-10"/>
          <w:sz w:val="28"/>
          <w:szCs w:val="28"/>
        </w:rPr>
        <w:t>（四）基金会委托关联方开展业务；</w:t>
      </w:r>
    </w:p>
    <w:p w14:paraId="0AC518F1">
      <w:pPr>
        <w:spacing w:line="223" w:lineRule="auto"/>
        <w:rPr>
          <w:rFonts w:ascii="仿宋" w:hAnsi="仿宋" w:eastAsia="仿宋" w:cs="仿宋"/>
          <w:sz w:val="28"/>
          <w:szCs w:val="28"/>
        </w:rPr>
        <w:sectPr>
          <w:pgSz w:w="11906" w:h="16839"/>
          <w:pgMar w:top="400" w:right="1767" w:bottom="400" w:left="1785" w:header="0" w:footer="850" w:gutter="0"/>
          <w:pgNumType w:fmt="decimal"/>
          <w:cols w:space="720" w:num="1"/>
        </w:sectPr>
      </w:pPr>
    </w:p>
    <w:p w14:paraId="39DADCF3">
      <w:pPr>
        <w:spacing w:line="287" w:lineRule="auto"/>
        <w:rPr>
          <w:rFonts w:ascii="Arial"/>
          <w:sz w:val="21"/>
        </w:rPr>
      </w:pPr>
    </w:p>
    <w:p w14:paraId="07BC4DFD">
      <w:pPr>
        <w:spacing w:line="287" w:lineRule="auto"/>
        <w:rPr>
          <w:rFonts w:ascii="Arial"/>
          <w:sz w:val="21"/>
        </w:rPr>
      </w:pPr>
    </w:p>
    <w:p w14:paraId="11BA631B">
      <w:pPr>
        <w:spacing w:line="288" w:lineRule="auto"/>
        <w:rPr>
          <w:rFonts w:ascii="Arial"/>
          <w:sz w:val="21"/>
        </w:rPr>
      </w:pPr>
    </w:p>
    <w:p w14:paraId="402F1552">
      <w:pPr>
        <w:spacing w:line="288" w:lineRule="auto"/>
        <w:rPr>
          <w:rFonts w:ascii="Arial"/>
          <w:sz w:val="21"/>
        </w:rPr>
      </w:pPr>
    </w:p>
    <w:p w14:paraId="5F49AA9A">
      <w:pPr>
        <w:spacing w:before="91" w:line="222" w:lineRule="auto"/>
        <w:ind w:left="592"/>
        <w:rPr>
          <w:rFonts w:ascii="仿宋" w:hAnsi="仿宋" w:eastAsia="仿宋" w:cs="仿宋"/>
          <w:sz w:val="28"/>
          <w:szCs w:val="28"/>
        </w:rPr>
      </w:pPr>
      <w:r>
        <w:rPr>
          <w:rFonts w:ascii="仿宋" w:hAnsi="仿宋" w:eastAsia="仿宋" w:cs="仿宋"/>
          <w:spacing w:val="-8"/>
          <w:sz w:val="28"/>
          <w:szCs w:val="28"/>
        </w:rPr>
        <w:t>（五）基金会与关联方之间的有偿出租或承租；</w:t>
      </w:r>
    </w:p>
    <w:p w14:paraId="09A9CB8F">
      <w:pPr>
        <w:spacing w:before="221" w:line="222" w:lineRule="auto"/>
        <w:ind w:left="592"/>
        <w:rPr>
          <w:rFonts w:ascii="仿宋" w:hAnsi="仿宋" w:eastAsia="仿宋" w:cs="仿宋"/>
          <w:sz w:val="28"/>
          <w:szCs w:val="28"/>
        </w:rPr>
      </w:pPr>
      <w:r>
        <w:rPr>
          <w:rFonts w:ascii="仿宋" w:hAnsi="仿宋" w:eastAsia="仿宋" w:cs="仿宋"/>
          <w:spacing w:val="-8"/>
          <w:sz w:val="28"/>
          <w:szCs w:val="28"/>
        </w:rPr>
        <w:t>（六）基金会资助关联方（包括以现金或实物形式</w:t>
      </w:r>
      <w:r>
        <w:rPr>
          <w:rFonts w:ascii="仿宋" w:hAnsi="仿宋" w:eastAsia="仿宋" w:cs="仿宋"/>
          <w:spacing w:val="8"/>
          <w:sz w:val="28"/>
          <w:szCs w:val="28"/>
        </w:rPr>
        <w:t>）；</w:t>
      </w:r>
    </w:p>
    <w:p w14:paraId="19CE4DB8">
      <w:pPr>
        <w:spacing w:before="223" w:line="223" w:lineRule="auto"/>
        <w:ind w:left="592"/>
        <w:rPr>
          <w:rFonts w:ascii="仿宋" w:hAnsi="仿宋" w:eastAsia="仿宋" w:cs="仿宋"/>
          <w:sz w:val="28"/>
          <w:szCs w:val="28"/>
        </w:rPr>
      </w:pPr>
      <w:r>
        <w:rPr>
          <w:rFonts w:ascii="仿宋" w:hAnsi="仿宋" w:eastAsia="仿宋" w:cs="仿宋"/>
          <w:spacing w:val="-11"/>
          <w:sz w:val="28"/>
          <w:szCs w:val="28"/>
        </w:rPr>
        <w:t>（七）基金会与关联方共同投资；</w:t>
      </w:r>
    </w:p>
    <w:p w14:paraId="4612E237">
      <w:pPr>
        <w:spacing w:before="224" w:line="219" w:lineRule="auto"/>
        <w:ind w:left="592"/>
        <w:rPr>
          <w:rFonts w:ascii="仿宋" w:hAnsi="仿宋" w:eastAsia="仿宋" w:cs="仿宋"/>
          <w:sz w:val="28"/>
          <w:szCs w:val="28"/>
        </w:rPr>
      </w:pPr>
      <w:r>
        <w:rPr>
          <w:rFonts w:ascii="仿宋" w:hAnsi="仿宋" w:eastAsia="仿宋" w:cs="仿宋"/>
          <w:spacing w:val="-7"/>
          <w:sz w:val="28"/>
          <w:szCs w:val="28"/>
        </w:rPr>
        <w:t>（八）基金会与关联方之间转让或者受让知识产权；</w:t>
      </w:r>
    </w:p>
    <w:p w14:paraId="45A6F1C0">
      <w:pPr>
        <w:spacing w:before="226" w:line="223" w:lineRule="auto"/>
        <w:ind w:left="592"/>
        <w:rPr>
          <w:rFonts w:ascii="仿宋" w:hAnsi="仿宋" w:eastAsia="仿宋" w:cs="仿宋"/>
          <w:sz w:val="28"/>
          <w:szCs w:val="28"/>
        </w:rPr>
      </w:pPr>
      <w:r>
        <w:rPr>
          <w:rFonts w:ascii="仿宋" w:hAnsi="仿宋" w:eastAsia="仿宋" w:cs="仿宋"/>
          <w:spacing w:val="-8"/>
          <w:sz w:val="28"/>
          <w:szCs w:val="28"/>
        </w:rPr>
        <w:t>（九）基金会与关联方之间签订授权许可协议；</w:t>
      </w:r>
    </w:p>
    <w:p w14:paraId="11ADF11F">
      <w:pPr>
        <w:spacing w:before="220" w:line="221" w:lineRule="auto"/>
        <w:ind w:left="592"/>
        <w:rPr>
          <w:rFonts w:ascii="仿宋" w:hAnsi="仿宋" w:eastAsia="仿宋" w:cs="仿宋"/>
          <w:sz w:val="28"/>
          <w:szCs w:val="28"/>
        </w:rPr>
      </w:pPr>
      <w:r>
        <w:rPr>
          <w:rFonts w:ascii="仿宋" w:hAnsi="仿宋" w:eastAsia="仿宋" w:cs="仿宋"/>
          <w:spacing w:val="-8"/>
          <w:sz w:val="28"/>
          <w:szCs w:val="28"/>
        </w:rPr>
        <w:t>（十）基金会与关联方之间的非货币性交易。</w:t>
      </w:r>
    </w:p>
    <w:p w14:paraId="772D93F8">
      <w:pPr>
        <w:spacing w:before="228" w:line="352" w:lineRule="auto"/>
        <w:ind w:left="34" w:right="13" w:firstLine="569"/>
        <w:rPr>
          <w:rFonts w:ascii="仿宋" w:hAnsi="仿宋" w:eastAsia="仿宋" w:cs="仿宋"/>
          <w:sz w:val="28"/>
          <w:szCs w:val="28"/>
        </w:rPr>
      </w:pPr>
      <w:r>
        <w:rPr>
          <w:rFonts w:ascii="仿宋" w:hAnsi="仿宋" w:eastAsia="仿宋" w:cs="仿宋"/>
          <w:b/>
          <w:bCs/>
          <w:sz w:val="28"/>
          <w:szCs w:val="28"/>
        </w:rPr>
        <w:t>第九十三条</w:t>
      </w:r>
      <w:r>
        <w:rPr>
          <w:rFonts w:ascii="仿宋" w:hAnsi="仿宋" w:eastAsia="仿宋" w:cs="仿宋"/>
          <w:sz w:val="28"/>
          <w:szCs w:val="28"/>
        </w:rPr>
        <w:t xml:space="preserve"> 根据本章规定批准实施的关联交易，基金会关联方 </w:t>
      </w:r>
      <w:r>
        <w:rPr>
          <w:rFonts w:ascii="仿宋" w:hAnsi="仿宋" w:eastAsia="仿宋" w:cs="仿宋"/>
          <w:spacing w:val="-1"/>
          <w:sz w:val="28"/>
          <w:szCs w:val="28"/>
        </w:rPr>
        <w:t>在基金会签署涉 及关联交易的协议时，应当采取必要的回避措施：</w:t>
      </w:r>
    </w:p>
    <w:p w14:paraId="490D1A18">
      <w:pPr>
        <w:spacing w:before="50" w:line="222" w:lineRule="auto"/>
        <w:ind w:left="592"/>
        <w:rPr>
          <w:rFonts w:ascii="仿宋" w:hAnsi="仿宋" w:eastAsia="仿宋" w:cs="仿宋"/>
          <w:sz w:val="28"/>
          <w:szCs w:val="28"/>
        </w:rPr>
      </w:pPr>
      <w:r>
        <w:rPr>
          <w:rFonts w:ascii="仿宋" w:hAnsi="仿宋" w:eastAsia="仿宋" w:cs="仿宋"/>
          <w:spacing w:val="-10"/>
          <w:sz w:val="28"/>
          <w:szCs w:val="28"/>
        </w:rPr>
        <w:t>（一）任何人只能代表一方签署协议；</w:t>
      </w:r>
    </w:p>
    <w:p w14:paraId="1ED7AAB7">
      <w:pPr>
        <w:spacing w:before="224" w:line="296" w:lineRule="auto"/>
        <w:ind w:left="2794" w:right="1777" w:hanging="2202"/>
        <w:rPr>
          <w:rFonts w:ascii="黑体" w:hAnsi="黑体" w:eastAsia="黑体" w:cs="黑体"/>
          <w:sz w:val="28"/>
          <w:szCs w:val="28"/>
        </w:rPr>
      </w:pPr>
      <w:r>
        <w:rPr>
          <w:rFonts w:ascii="仿宋" w:hAnsi="仿宋" w:eastAsia="仿宋" w:cs="仿宋"/>
          <w:spacing w:val="-9"/>
          <w:sz w:val="28"/>
          <w:szCs w:val="28"/>
        </w:rPr>
        <w:t>（二）关联方不得以任何方式干预基金会的决定。</w:t>
      </w:r>
      <w:r>
        <w:rPr>
          <w:rFonts w:ascii="仿宋" w:hAnsi="仿宋" w:eastAsia="仿宋" w:cs="仿宋"/>
          <w:spacing w:val="1"/>
          <w:sz w:val="28"/>
          <w:szCs w:val="28"/>
        </w:rPr>
        <w:t xml:space="preserve"> </w:t>
      </w:r>
      <w:r>
        <w:rPr>
          <w:rFonts w:ascii="仿宋" w:hAnsi="仿宋" w:eastAsia="仿宋" w:cs="仿宋"/>
          <w:spacing w:val="-4"/>
          <w:sz w:val="28"/>
          <w:szCs w:val="28"/>
        </w:rPr>
        <w:t xml:space="preserve">第三十一章  </w:t>
      </w:r>
      <w:r>
        <w:rPr>
          <w:rFonts w:ascii="黑体" w:hAnsi="黑体" w:eastAsia="黑体" w:cs="黑体"/>
          <w:b/>
          <w:bCs/>
          <w:spacing w:val="-4"/>
          <w:sz w:val="28"/>
          <w:szCs w:val="28"/>
        </w:rPr>
        <w:t>信息公开</w:t>
      </w:r>
    </w:p>
    <w:p w14:paraId="7D83470F">
      <w:pPr>
        <w:spacing w:before="221" w:line="355" w:lineRule="auto"/>
        <w:ind w:left="32" w:right="51" w:firstLine="571"/>
        <w:rPr>
          <w:rFonts w:ascii="仿宋" w:hAnsi="仿宋" w:eastAsia="仿宋" w:cs="仿宋"/>
          <w:sz w:val="28"/>
          <w:szCs w:val="28"/>
        </w:rPr>
      </w:pPr>
      <w:r>
        <w:rPr>
          <w:rFonts w:ascii="仿宋" w:hAnsi="仿宋" w:eastAsia="仿宋" w:cs="仿宋"/>
          <w:b/>
          <w:bCs/>
          <w:spacing w:val="-1"/>
          <w:sz w:val="28"/>
          <w:szCs w:val="28"/>
        </w:rPr>
        <w:t>第九十四条</w:t>
      </w:r>
      <w:r>
        <w:rPr>
          <w:rFonts w:ascii="仿宋" w:hAnsi="仿宋" w:eastAsia="仿宋" w:cs="仿宋"/>
          <w:spacing w:val="-1"/>
          <w:sz w:val="28"/>
          <w:szCs w:val="28"/>
        </w:rPr>
        <w:t xml:space="preserve"> 基金会进行关联交易的，应当</w:t>
      </w:r>
      <w:r>
        <w:rPr>
          <w:rFonts w:ascii="仿宋" w:hAnsi="仿宋" w:eastAsia="仿宋" w:cs="仿宋"/>
          <w:spacing w:val="-2"/>
          <w:sz w:val="28"/>
          <w:szCs w:val="28"/>
        </w:rPr>
        <w:t>依法进行信息公开。</w:t>
      </w:r>
      <w:r>
        <w:rPr>
          <w:rFonts w:ascii="仿宋" w:hAnsi="仿宋" w:eastAsia="仿宋" w:cs="仿宋"/>
          <w:sz w:val="28"/>
          <w:szCs w:val="28"/>
        </w:rPr>
        <w:t xml:space="preserve"> </w:t>
      </w:r>
      <w:r>
        <w:rPr>
          <w:rFonts w:ascii="仿宋" w:hAnsi="仿宋" w:eastAsia="仿宋" w:cs="仿宋"/>
          <w:spacing w:val="-2"/>
          <w:sz w:val="28"/>
          <w:szCs w:val="28"/>
        </w:rPr>
        <w:t>信息公开应当真实、完整、及时。</w:t>
      </w:r>
    </w:p>
    <w:p w14:paraId="2DEA604C">
      <w:pPr>
        <w:spacing w:before="44" w:line="361" w:lineRule="auto"/>
        <w:ind w:left="41" w:right="11" w:firstLine="562"/>
        <w:jc w:val="both"/>
        <w:rPr>
          <w:rFonts w:ascii="仿宋" w:hAnsi="仿宋" w:eastAsia="仿宋" w:cs="仿宋"/>
          <w:sz w:val="28"/>
          <w:szCs w:val="28"/>
        </w:rPr>
      </w:pPr>
      <w:r>
        <w:rPr>
          <w:rFonts w:ascii="仿宋" w:hAnsi="仿宋" w:eastAsia="仿宋" w:cs="仿宋"/>
          <w:b/>
          <w:bCs/>
          <w:sz w:val="28"/>
          <w:szCs w:val="28"/>
        </w:rPr>
        <w:t>第九十五条</w:t>
      </w:r>
      <w:r>
        <w:rPr>
          <w:rFonts w:ascii="仿宋" w:hAnsi="仿宋" w:eastAsia="仿宋" w:cs="仿宋"/>
          <w:sz w:val="28"/>
          <w:szCs w:val="28"/>
        </w:rPr>
        <w:t xml:space="preserve"> 基金会与其他个人或组织发生重大交易或资金往来 </w:t>
      </w:r>
      <w:r>
        <w:rPr>
          <w:rFonts w:ascii="仿宋" w:hAnsi="仿宋" w:eastAsia="仿宋" w:cs="仿宋"/>
          <w:spacing w:val="-2"/>
          <w:sz w:val="28"/>
          <w:szCs w:val="28"/>
        </w:rPr>
        <w:t>的，应当在交易发生后</w:t>
      </w:r>
      <w:r>
        <w:rPr>
          <w:rFonts w:ascii="仿宋" w:hAnsi="仿宋" w:eastAsia="仿宋" w:cs="仿宋"/>
          <w:spacing w:val="-55"/>
          <w:sz w:val="28"/>
          <w:szCs w:val="28"/>
        </w:rPr>
        <w:t xml:space="preserve"> </w:t>
      </w:r>
      <w:r>
        <w:rPr>
          <w:rFonts w:ascii="仿宋" w:hAnsi="仿宋" w:eastAsia="仿宋" w:cs="仿宋"/>
          <w:spacing w:val="-2"/>
          <w:sz w:val="28"/>
          <w:szCs w:val="28"/>
        </w:rPr>
        <w:t>30 日内及时向社会公开事由和金额。</w:t>
      </w:r>
      <w:r>
        <w:rPr>
          <w:rFonts w:ascii="仿宋" w:hAnsi="仿宋" w:eastAsia="仿宋" w:cs="仿宋"/>
          <w:spacing w:val="-3"/>
          <w:sz w:val="28"/>
          <w:szCs w:val="28"/>
        </w:rPr>
        <w:t>重大交</w:t>
      </w:r>
      <w:r>
        <w:rPr>
          <w:rFonts w:ascii="仿宋" w:hAnsi="仿宋" w:eastAsia="仿宋" w:cs="仿宋"/>
          <w:sz w:val="28"/>
          <w:szCs w:val="28"/>
        </w:rPr>
        <w:t xml:space="preserve"> </w:t>
      </w:r>
      <w:r>
        <w:rPr>
          <w:rFonts w:ascii="仿宋" w:hAnsi="仿宋" w:eastAsia="仿宋" w:cs="仿宋"/>
          <w:spacing w:val="-4"/>
          <w:sz w:val="28"/>
          <w:szCs w:val="28"/>
        </w:rPr>
        <w:t>易及资金往来的标准，由基金会遵循有关法律法规规章及《青海</w:t>
      </w:r>
      <w:r>
        <w:rPr>
          <w:rFonts w:ascii="仿宋" w:hAnsi="仿宋" w:eastAsia="仿宋" w:cs="仿宋"/>
          <w:spacing w:val="-5"/>
          <w:sz w:val="28"/>
          <w:szCs w:val="28"/>
        </w:rPr>
        <w:t>湖生</w:t>
      </w:r>
      <w:r>
        <w:rPr>
          <w:rFonts w:ascii="仿宋" w:hAnsi="仿宋" w:eastAsia="仿宋" w:cs="仿宋"/>
          <w:sz w:val="28"/>
          <w:szCs w:val="28"/>
        </w:rPr>
        <w:t xml:space="preserve"> </w:t>
      </w:r>
      <w:r>
        <w:rPr>
          <w:rFonts w:ascii="仿宋" w:hAnsi="仿宋" w:eastAsia="仿宋" w:cs="仿宋"/>
          <w:spacing w:val="-1"/>
          <w:sz w:val="28"/>
          <w:szCs w:val="28"/>
        </w:rPr>
        <w:t>态保护基金会章程》或者在相关财务和资产管理制度中规定。</w:t>
      </w:r>
    </w:p>
    <w:p w14:paraId="7A3CE840">
      <w:pPr>
        <w:spacing w:before="50" w:line="355" w:lineRule="auto"/>
        <w:ind w:left="91" w:right="156" w:firstLine="511"/>
        <w:rPr>
          <w:rFonts w:ascii="仿宋" w:hAnsi="仿宋" w:eastAsia="仿宋" w:cs="仿宋"/>
          <w:sz w:val="28"/>
          <w:szCs w:val="28"/>
        </w:rPr>
      </w:pPr>
      <w:r>
        <w:rPr>
          <w:rFonts w:ascii="仿宋" w:hAnsi="仿宋" w:eastAsia="仿宋" w:cs="仿宋"/>
          <w:b/>
          <w:bCs/>
          <w:sz w:val="28"/>
          <w:szCs w:val="28"/>
        </w:rPr>
        <w:t>第九十六条</w:t>
      </w:r>
      <w:r>
        <w:rPr>
          <w:rFonts w:ascii="仿宋" w:hAnsi="仿宋" w:eastAsia="仿宋" w:cs="仿宋"/>
          <w:sz w:val="28"/>
          <w:szCs w:val="28"/>
        </w:rPr>
        <w:t xml:space="preserve"> 基金会发生下列关联交易，应当在交易发生后 </w:t>
      </w:r>
      <w:r>
        <w:rPr>
          <w:rFonts w:ascii="仿宋" w:hAnsi="仿宋" w:eastAsia="仿宋" w:cs="仿宋"/>
          <w:spacing w:val="-1"/>
          <w:sz w:val="28"/>
          <w:szCs w:val="28"/>
        </w:rPr>
        <w:t>30</w:t>
      </w:r>
      <w:r>
        <w:rPr>
          <w:rFonts w:ascii="仿宋" w:hAnsi="仿宋" w:eastAsia="仿宋" w:cs="仿宋"/>
          <w:sz w:val="28"/>
          <w:szCs w:val="28"/>
        </w:rPr>
        <w:t xml:space="preserve"> </w:t>
      </w:r>
      <w:r>
        <w:rPr>
          <w:rFonts w:ascii="仿宋" w:hAnsi="仿宋" w:eastAsia="仿宋" w:cs="仿宋"/>
          <w:spacing w:val="-5"/>
          <w:sz w:val="28"/>
          <w:szCs w:val="28"/>
        </w:rPr>
        <w:t>日内及时向社会公开交易内容和金额；</w:t>
      </w:r>
    </w:p>
    <w:p w14:paraId="0A6EAD0A">
      <w:pPr>
        <w:spacing w:before="43" w:line="223" w:lineRule="auto"/>
        <w:ind w:left="453"/>
        <w:rPr>
          <w:rFonts w:ascii="仿宋" w:hAnsi="仿宋" w:eastAsia="仿宋" w:cs="仿宋"/>
          <w:sz w:val="28"/>
          <w:szCs w:val="28"/>
        </w:rPr>
      </w:pPr>
      <w:r>
        <w:rPr>
          <w:rFonts w:ascii="仿宋" w:hAnsi="仿宋" w:eastAsia="仿宋" w:cs="仿宋"/>
          <w:spacing w:val="-2"/>
          <w:sz w:val="28"/>
          <w:szCs w:val="28"/>
        </w:rPr>
        <w:t>（一）与重要关联方发生交易；</w:t>
      </w:r>
    </w:p>
    <w:p w14:paraId="6BDDAEFD">
      <w:pPr>
        <w:spacing w:before="221" w:line="223" w:lineRule="auto"/>
        <w:ind w:left="453"/>
        <w:rPr>
          <w:rFonts w:ascii="仿宋" w:hAnsi="仿宋" w:eastAsia="仿宋" w:cs="仿宋"/>
          <w:sz w:val="28"/>
          <w:szCs w:val="28"/>
        </w:rPr>
      </w:pPr>
      <w:r>
        <w:rPr>
          <w:rFonts w:ascii="仿宋" w:hAnsi="仿宋" w:eastAsia="仿宋" w:cs="仿宋"/>
          <w:spacing w:val="-2"/>
          <w:sz w:val="28"/>
          <w:szCs w:val="28"/>
        </w:rPr>
        <w:t>（二）接受重要关联方捐赠；</w:t>
      </w:r>
    </w:p>
    <w:p w14:paraId="26202C7E">
      <w:pPr>
        <w:spacing w:before="223" w:line="222" w:lineRule="auto"/>
        <w:ind w:left="453"/>
        <w:rPr>
          <w:rFonts w:ascii="仿宋" w:hAnsi="仿宋" w:eastAsia="仿宋" w:cs="仿宋"/>
          <w:sz w:val="28"/>
          <w:szCs w:val="28"/>
        </w:rPr>
      </w:pPr>
      <w:r>
        <w:rPr>
          <w:rFonts w:ascii="仿宋" w:hAnsi="仿宋" w:eastAsia="仿宋" w:cs="仿宋"/>
          <w:spacing w:val="-2"/>
          <w:sz w:val="28"/>
          <w:szCs w:val="28"/>
        </w:rPr>
        <w:t>（三）对重要关联方进行资助；</w:t>
      </w:r>
    </w:p>
    <w:p w14:paraId="261E7AF1">
      <w:pPr>
        <w:spacing w:before="223" w:line="223" w:lineRule="auto"/>
        <w:ind w:left="453"/>
        <w:rPr>
          <w:rFonts w:ascii="仿宋" w:hAnsi="仿宋" w:eastAsia="仿宋" w:cs="仿宋"/>
          <w:sz w:val="28"/>
          <w:szCs w:val="28"/>
        </w:rPr>
      </w:pPr>
      <w:r>
        <w:rPr>
          <w:rFonts w:ascii="仿宋" w:hAnsi="仿宋" w:eastAsia="仿宋" w:cs="仿宋"/>
          <w:spacing w:val="-2"/>
          <w:sz w:val="28"/>
          <w:szCs w:val="28"/>
        </w:rPr>
        <w:t>（四）与重要关联方共同投资；</w:t>
      </w:r>
    </w:p>
    <w:p w14:paraId="79D954C2">
      <w:pPr>
        <w:spacing w:before="221" w:line="223" w:lineRule="auto"/>
        <w:ind w:left="453"/>
        <w:rPr>
          <w:rFonts w:ascii="仿宋" w:hAnsi="仿宋" w:eastAsia="仿宋" w:cs="仿宋"/>
          <w:sz w:val="28"/>
          <w:szCs w:val="28"/>
        </w:rPr>
      </w:pPr>
      <w:r>
        <w:rPr>
          <w:rFonts w:ascii="仿宋" w:hAnsi="仿宋" w:eastAsia="仿宋" w:cs="仿宋"/>
          <w:spacing w:val="-2"/>
          <w:sz w:val="28"/>
          <w:szCs w:val="28"/>
        </w:rPr>
        <w:t>（五）委托重要关联方开展投资活动；</w:t>
      </w:r>
    </w:p>
    <w:p w14:paraId="1FEAF157">
      <w:pPr>
        <w:spacing w:line="223" w:lineRule="auto"/>
        <w:rPr>
          <w:rFonts w:ascii="仿宋" w:hAnsi="仿宋" w:eastAsia="仿宋" w:cs="仿宋"/>
          <w:sz w:val="28"/>
          <w:szCs w:val="28"/>
        </w:rPr>
        <w:sectPr>
          <w:pgSz w:w="11906" w:h="16839"/>
          <w:pgMar w:top="400" w:right="1785" w:bottom="400" w:left="1785" w:header="0" w:footer="850" w:gutter="0"/>
          <w:pgNumType w:fmt="decimal"/>
          <w:cols w:space="720" w:num="1"/>
        </w:sectPr>
      </w:pPr>
    </w:p>
    <w:p w14:paraId="041CB61D">
      <w:pPr>
        <w:spacing w:line="287" w:lineRule="auto"/>
        <w:rPr>
          <w:rFonts w:ascii="Arial"/>
          <w:sz w:val="21"/>
        </w:rPr>
      </w:pPr>
    </w:p>
    <w:p w14:paraId="4A60A453">
      <w:pPr>
        <w:spacing w:line="287" w:lineRule="auto"/>
        <w:rPr>
          <w:rFonts w:ascii="Arial"/>
          <w:sz w:val="21"/>
        </w:rPr>
      </w:pPr>
    </w:p>
    <w:p w14:paraId="0A43AD2B">
      <w:pPr>
        <w:spacing w:line="288" w:lineRule="auto"/>
        <w:rPr>
          <w:rFonts w:ascii="Arial"/>
          <w:sz w:val="21"/>
        </w:rPr>
      </w:pPr>
    </w:p>
    <w:p w14:paraId="70216C22">
      <w:pPr>
        <w:spacing w:line="288" w:lineRule="auto"/>
        <w:rPr>
          <w:rFonts w:ascii="Arial"/>
          <w:sz w:val="21"/>
        </w:rPr>
      </w:pPr>
    </w:p>
    <w:p w14:paraId="36AA7BB0">
      <w:pPr>
        <w:spacing w:before="91" w:line="222" w:lineRule="auto"/>
        <w:ind w:left="453"/>
        <w:rPr>
          <w:rFonts w:ascii="仿宋" w:hAnsi="仿宋" w:eastAsia="仿宋" w:cs="仿宋"/>
          <w:sz w:val="28"/>
          <w:szCs w:val="28"/>
        </w:rPr>
      </w:pPr>
      <w:r>
        <w:rPr>
          <w:rFonts w:ascii="仿宋" w:hAnsi="仿宋" w:eastAsia="仿宋" w:cs="仿宋"/>
          <w:spacing w:val="-2"/>
          <w:sz w:val="28"/>
          <w:szCs w:val="28"/>
        </w:rPr>
        <w:t>（六）与重要关联方发生资金往来。</w:t>
      </w:r>
    </w:p>
    <w:p w14:paraId="44D5D4BC">
      <w:pPr>
        <w:spacing w:before="220" w:line="359" w:lineRule="auto"/>
        <w:ind w:left="34" w:right="13" w:firstLine="569"/>
        <w:rPr>
          <w:rFonts w:ascii="仿宋" w:hAnsi="仿宋" w:eastAsia="仿宋" w:cs="仿宋"/>
          <w:sz w:val="28"/>
          <w:szCs w:val="28"/>
        </w:rPr>
      </w:pPr>
      <w:r>
        <w:rPr>
          <w:rFonts w:ascii="仿宋" w:hAnsi="仿宋" w:eastAsia="仿宋" w:cs="仿宋"/>
          <w:b/>
          <w:bCs/>
          <w:sz w:val="28"/>
          <w:szCs w:val="28"/>
        </w:rPr>
        <w:t>第九十七条</w:t>
      </w:r>
      <w:r>
        <w:rPr>
          <w:rFonts w:ascii="仿宋" w:hAnsi="仿宋" w:eastAsia="仿宋" w:cs="仿宋"/>
          <w:sz w:val="28"/>
          <w:szCs w:val="28"/>
        </w:rPr>
        <w:t xml:space="preserve"> 上述重要关联方是指遵照《青海湖生态保护基金会 </w:t>
      </w:r>
      <w:r>
        <w:rPr>
          <w:rFonts w:ascii="仿宋" w:hAnsi="仿宋" w:eastAsia="仿宋" w:cs="仿宋"/>
          <w:spacing w:val="-4"/>
          <w:sz w:val="28"/>
          <w:szCs w:val="28"/>
        </w:rPr>
        <w:t>章程》规定的重大投资活动及重大资助活动的相关方以及与关联的慈</w:t>
      </w:r>
      <w:r>
        <w:rPr>
          <w:rFonts w:ascii="仿宋" w:hAnsi="仿宋" w:eastAsia="仿宋" w:cs="仿宋"/>
          <w:spacing w:val="4"/>
          <w:sz w:val="28"/>
          <w:szCs w:val="28"/>
        </w:rPr>
        <w:t xml:space="preserve"> </w:t>
      </w:r>
      <w:r>
        <w:rPr>
          <w:rFonts w:ascii="仿宋" w:hAnsi="仿宋" w:eastAsia="仿宋" w:cs="仿宋"/>
          <w:spacing w:val="-1"/>
          <w:sz w:val="28"/>
          <w:szCs w:val="28"/>
        </w:rPr>
        <w:t>善组织存在控制、共同控制或者重大影响关系的个人或组织。</w:t>
      </w:r>
    </w:p>
    <w:p w14:paraId="64AFE024">
      <w:pPr>
        <w:spacing w:before="48" w:line="223" w:lineRule="auto"/>
        <w:ind w:left="2795"/>
        <w:rPr>
          <w:rFonts w:ascii="黑体" w:hAnsi="黑体" w:eastAsia="黑体" w:cs="黑体"/>
          <w:sz w:val="28"/>
          <w:szCs w:val="28"/>
        </w:rPr>
      </w:pPr>
      <w:r>
        <w:rPr>
          <w:rFonts w:ascii="仿宋" w:hAnsi="仿宋" w:eastAsia="仿宋" w:cs="仿宋"/>
          <w:spacing w:val="-4"/>
          <w:sz w:val="28"/>
          <w:szCs w:val="28"/>
        </w:rPr>
        <w:t xml:space="preserve">第三十二章  </w:t>
      </w:r>
      <w:r>
        <w:rPr>
          <w:rFonts w:ascii="黑体" w:hAnsi="黑体" w:eastAsia="黑体" w:cs="黑体"/>
          <w:b/>
          <w:bCs/>
          <w:spacing w:val="-4"/>
          <w:sz w:val="28"/>
          <w:szCs w:val="28"/>
        </w:rPr>
        <w:t>法律责任</w:t>
      </w:r>
    </w:p>
    <w:p w14:paraId="2CF853DD">
      <w:pPr>
        <w:spacing w:before="266" w:line="403" w:lineRule="auto"/>
        <w:ind w:left="78" w:right="32" w:firstLine="501"/>
        <w:jc w:val="both"/>
        <w:rPr>
          <w:rFonts w:ascii="仿宋" w:hAnsi="仿宋" w:eastAsia="仿宋" w:cs="仿宋"/>
          <w:sz w:val="28"/>
          <w:szCs w:val="28"/>
        </w:rPr>
      </w:pPr>
      <w:r>
        <w:rPr>
          <w:rFonts w:ascii="仿宋" w:hAnsi="仿宋" w:eastAsia="仿宋" w:cs="仿宋"/>
          <w:b/>
          <w:bCs/>
          <w:spacing w:val="-5"/>
          <w:sz w:val="28"/>
          <w:szCs w:val="28"/>
        </w:rPr>
        <w:t>第十三条</w:t>
      </w:r>
      <w:r>
        <w:rPr>
          <w:rFonts w:ascii="仿宋" w:hAnsi="仿宋" w:eastAsia="仿宋" w:cs="仿宋"/>
          <w:spacing w:val="-5"/>
          <w:sz w:val="28"/>
          <w:szCs w:val="28"/>
        </w:rPr>
        <w:t xml:space="preserve">  青海湖生态保护基金会违反《基金会管理条例》以及</w:t>
      </w:r>
      <w:r>
        <w:rPr>
          <w:rFonts w:ascii="仿宋" w:hAnsi="仿宋" w:eastAsia="仿宋" w:cs="仿宋"/>
          <w:spacing w:val="13"/>
          <w:sz w:val="28"/>
          <w:szCs w:val="28"/>
        </w:rPr>
        <w:t xml:space="preserve"> </w:t>
      </w:r>
      <w:r>
        <w:rPr>
          <w:rFonts w:ascii="仿宋" w:hAnsi="仿宋" w:eastAsia="仿宋" w:cs="仿宋"/>
          <w:spacing w:val="-6"/>
          <w:sz w:val="28"/>
          <w:szCs w:val="28"/>
        </w:rPr>
        <w:t>本制度进行关联交易，变相转移、隐匿、分配基金会财产的，财政部</w:t>
      </w:r>
      <w:r>
        <w:rPr>
          <w:rFonts w:ascii="仿宋" w:hAnsi="仿宋" w:eastAsia="仿宋" w:cs="仿宋"/>
          <w:spacing w:val="2"/>
          <w:sz w:val="28"/>
          <w:szCs w:val="28"/>
        </w:rPr>
        <w:t xml:space="preserve"> </w:t>
      </w:r>
      <w:r>
        <w:rPr>
          <w:rFonts w:ascii="仿宋" w:hAnsi="仿宋" w:eastAsia="仿宋" w:cs="仿宋"/>
          <w:spacing w:val="-10"/>
          <w:sz w:val="28"/>
          <w:szCs w:val="28"/>
        </w:rPr>
        <w:t>门和税务部门将取消基金会的 免税资格，同</w:t>
      </w:r>
      <w:r>
        <w:rPr>
          <w:rFonts w:ascii="仿宋" w:hAnsi="仿宋" w:eastAsia="仿宋" w:cs="仿宋"/>
          <w:spacing w:val="-11"/>
          <w:sz w:val="28"/>
          <w:szCs w:val="28"/>
        </w:rPr>
        <w:t>时，财政部门、税务部门</w:t>
      </w:r>
      <w:r>
        <w:rPr>
          <w:rFonts w:ascii="仿宋" w:hAnsi="仿宋" w:eastAsia="仿宋" w:cs="仿宋"/>
          <w:sz w:val="28"/>
          <w:szCs w:val="28"/>
        </w:rPr>
        <w:t xml:space="preserve"> </w:t>
      </w:r>
      <w:r>
        <w:rPr>
          <w:rFonts w:ascii="仿宋" w:hAnsi="仿宋" w:eastAsia="仿宋" w:cs="仿宋"/>
          <w:spacing w:val="-9"/>
          <w:sz w:val="28"/>
          <w:szCs w:val="28"/>
        </w:rPr>
        <w:t>和民政部门有可能取消基金会的公益性捐赠税前扣除资格。</w:t>
      </w:r>
    </w:p>
    <w:p w14:paraId="46719447">
      <w:pPr>
        <w:spacing w:before="244" w:line="404" w:lineRule="auto"/>
        <w:ind w:left="82" w:right="37" w:firstLine="497"/>
        <w:jc w:val="both"/>
        <w:rPr>
          <w:rFonts w:ascii="仿宋" w:hAnsi="仿宋" w:eastAsia="仿宋" w:cs="仿宋"/>
          <w:sz w:val="28"/>
          <w:szCs w:val="28"/>
        </w:rPr>
      </w:pPr>
      <w:r>
        <w:rPr>
          <w:rFonts w:ascii="仿宋" w:hAnsi="仿宋" w:eastAsia="仿宋" w:cs="仿宋"/>
          <w:b/>
          <w:bCs/>
          <w:sz w:val="28"/>
          <w:szCs w:val="28"/>
        </w:rPr>
        <w:t>第十四条</w:t>
      </w:r>
      <w:r>
        <w:rPr>
          <w:rFonts w:ascii="仿宋" w:hAnsi="仿宋" w:eastAsia="仿宋" w:cs="仿宋"/>
          <w:sz w:val="28"/>
          <w:szCs w:val="28"/>
        </w:rPr>
        <w:t xml:space="preserve"> 青海湖生态保护基金会理事会违反本制度第三条、第</w:t>
      </w:r>
      <w:r>
        <w:rPr>
          <w:rFonts w:ascii="仿宋" w:hAnsi="仿宋" w:eastAsia="仿宋" w:cs="仿宋"/>
          <w:spacing w:val="1"/>
          <w:sz w:val="28"/>
          <w:szCs w:val="28"/>
        </w:rPr>
        <w:t xml:space="preserve"> </w:t>
      </w:r>
      <w:r>
        <w:rPr>
          <w:rFonts w:ascii="仿宋" w:hAnsi="仿宋" w:eastAsia="仿宋" w:cs="仿宋"/>
          <w:spacing w:val="-6"/>
          <w:sz w:val="28"/>
          <w:szCs w:val="28"/>
        </w:rPr>
        <w:t>九条以及章程规定决策不当，致使基金会遭受财产损</w:t>
      </w:r>
      <w:r>
        <w:rPr>
          <w:rFonts w:ascii="仿宋" w:hAnsi="仿宋" w:eastAsia="仿宋" w:cs="仿宋"/>
          <w:spacing w:val="-7"/>
          <w:sz w:val="28"/>
          <w:szCs w:val="28"/>
        </w:rPr>
        <w:t>失的，参与决策</w:t>
      </w:r>
      <w:r>
        <w:rPr>
          <w:rFonts w:ascii="仿宋" w:hAnsi="仿宋" w:eastAsia="仿宋" w:cs="仿宋"/>
          <w:sz w:val="28"/>
          <w:szCs w:val="28"/>
        </w:rPr>
        <w:t xml:space="preserve"> </w:t>
      </w:r>
      <w:r>
        <w:rPr>
          <w:rFonts w:ascii="仿宋" w:hAnsi="仿宋" w:eastAsia="仿宋" w:cs="仿宋"/>
          <w:spacing w:val="-6"/>
          <w:sz w:val="28"/>
          <w:szCs w:val="28"/>
        </w:rPr>
        <w:t>的理事需要承担相应的赔偿责任，在理事会会议记录</w:t>
      </w:r>
      <w:r>
        <w:rPr>
          <w:rFonts w:ascii="仿宋" w:hAnsi="仿宋" w:eastAsia="仿宋" w:cs="仿宋"/>
          <w:spacing w:val="-7"/>
          <w:sz w:val="28"/>
          <w:szCs w:val="28"/>
        </w:rPr>
        <w:t>当中明确记载持</w:t>
      </w:r>
      <w:r>
        <w:rPr>
          <w:rFonts w:ascii="仿宋" w:hAnsi="仿宋" w:eastAsia="仿宋" w:cs="仿宋"/>
          <w:sz w:val="28"/>
          <w:szCs w:val="28"/>
        </w:rPr>
        <w:t xml:space="preserve"> </w:t>
      </w:r>
      <w:r>
        <w:rPr>
          <w:rFonts w:ascii="仿宋" w:hAnsi="仿宋" w:eastAsia="仿宋" w:cs="仿宋"/>
          <w:spacing w:val="-5"/>
          <w:sz w:val="28"/>
          <w:szCs w:val="28"/>
        </w:rPr>
        <w:t>否定或者反对意见的理事可以免责。</w:t>
      </w:r>
    </w:p>
    <w:p w14:paraId="259FF953">
      <w:pPr>
        <w:spacing w:before="239" w:line="402" w:lineRule="auto"/>
        <w:ind w:left="104" w:right="37" w:firstLine="477"/>
        <w:jc w:val="both"/>
        <w:rPr>
          <w:rFonts w:ascii="仿宋" w:hAnsi="仿宋" w:eastAsia="仿宋" w:cs="仿宋"/>
          <w:sz w:val="28"/>
          <w:szCs w:val="28"/>
        </w:rPr>
      </w:pPr>
      <w:r>
        <w:rPr>
          <w:rFonts w:ascii="仿宋" w:hAnsi="仿宋" w:eastAsia="仿宋" w:cs="仿宋"/>
          <w:b/>
          <w:bCs/>
          <w:sz w:val="28"/>
          <w:szCs w:val="28"/>
        </w:rPr>
        <w:t>第十五条</w:t>
      </w:r>
      <w:r>
        <w:rPr>
          <w:rFonts w:ascii="仿宋" w:hAnsi="仿宋" w:eastAsia="仿宋" w:cs="仿宋"/>
          <w:sz w:val="28"/>
          <w:szCs w:val="28"/>
        </w:rPr>
        <w:t xml:space="preserve"> 关联人违反本规定进行关联交易，侵占、挪用基金会 </w:t>
      </w:r>
      <w:r>
        <w:rPr>
          <w:rFonts w:ascii="仿宋" w:hAnsi="仿宋" w:eastAsia="仿宋" w:cs="仿宋"/>
          <w:spacing w:val="-5"/>
          <w:sz w:val="28"/>
          <w:szCs w:val="28"/>
        </w:rPr>
        <w:t>财产的，应</w:t>
      </w:r>
      <w:r>
        <w:rPr>
          <w:rFonts w:ascii="仿宋" w:hAnsi="仿宋" w:eastAsia="仿宋" w:cs="仿宋"/>
          <w:spacing w:val="76"/>
          <w:sz w:val="28"/>
          <w:szCs w:val="28"/>
        </w:rPr>
        <w:t xml:space="preserve"> </w:t>
      </w:r>
      <w:r>
        <w:rPr>
          <w:rFonts w:ascii="仿宋" w:hAnsi="仿宋" w:eastAsia="仿宋" w:cs="仿宋"/>
          <w:spacing w:val="-5"/>
          <w:sz w:val="28"/>
          <w:szCs w:val="28"/>
        </w:rPr>
        <w:t>当退还非法占用的财产；构成犯罪的，由司法机关依法</w:t>
      </w:r>
      <w:r>
        <w:rPr>
          <w:rFonts w:ascii="仿宋" w:hAnsi="仿宋" w:eastAsia="仿宋" w:cs="仿宋"/>
          <w:sz w:val="28"/>
          <w:szCs w:val="28"/>
        </w:rPr>
        <w:t xml:space="preserve"> </w:t>
      </w:r>
      <w:r>
        <w:rPr>
          <w:rFonts w:ascii="仿宋" w:hAnsi="仿宋" w:eastAsia="仿宋" w:cs="仿宋"/>
          <w:spacing w:val="-7"/>
          <w:sz w:val="28"/>
          <w:szCs w:val="28"/>
        </w:rPr>
        <w:t>追究刑事责任。</w:t>
      </w:r>
    </w:p>
    <w:p w14:paraId="0A78191A">
      <w:pPr>
        <w:spacing w:before="200" w:line="223" w:lineRule="auto"/>
        <w:ind w:left="3075"/>
        <w:rPr>
          <w:rFonts w:ascii="黑体" w:hAnsi="黑体" w:eastAsia="黑体" w:cs="黑体"/>
          <w:sz w:val="28"/>
          <w:szCs w:val="28"/>
        </w:rPr>
      </w:pPr>
      <w:r>
        <w:rPr>
          <w:rFonts w:ascii="仿宋" w:hAnsi="仿宋" w:eastAsia="仿宋" w:cs="仿宋"/>
          <w:spacing w:val="-9"/>
          <w:sz w:val="28"/>
          <w:szCs w:val="28"/>
        </w:rPr>
        <w:t>第三十三章</w:t>
      </w:r>
      <w:r>
        <w:rPr>
          <w:rFonts w:ascii="仿宋" w:hAnsi="仿宋" w:eastAsia="仿宋" w:cs="仿宋"/>
          <w:spacing w:val="13"/>
          <w:sz w:val="28"/>
          <w:szCs w:val="28"/>
        </w:rPr>
        <w:t xml:space="preserve">  </w:t>
      </w:r>
      <w:r>
        <w:rPr>
          <w:rFonts w:ascii="黑体" w:hAnsi="黑体" w:eastAsia="黑体" w:cs="黑体"/>
          <w:b/>
          <w:bCs/>
          <w:spacing w:val="-9"/>
          <w:sz w:val="28"/>
          <w:szCs w:val="28"/>
        </w:rPr>
        <w:t>附则</w:t>
      </w:r>
    </w:p>
    <w:p w14:paraId="736DF29A">
      <w:pPr>
        <w:pStyle w:val="2"/>
        <w:spacing w:before="265" w:line="222" w:lineRule="auto"/>
        <w:ind w:left="579"/>
      </w:pPr>
      <w:r>
        <w:rPr>
          <w:rFonts w:ascii="仿宋" w:hAnsi="仿宋" w:eastAsia="仿宋" w:cs="仿宋"/>
          <w:b/>
          <w:bCs/>
          <w:spacing w:val="-8"/>
        </w:rPr>
        <w:t>第十六条</w:t>
      </w:r>
      <w:r>
        <w:rPr>
          <w:rFonts w:ascii="仿宋" w:hAnsi="仿宋" w:eastAsia="仿宋" w:cs="仿宋"/>
          <w:spacing w:val="-8"/>
        </w:rPr>
        <w:t xml:space="preserve"> 本制度</w:t>
      </w:r>
      <w:r>
        <w:rPr>
          <w:spacing w:val="-8"/>
        </w:rPr>
        <w:t>自</w:t>
      </w:r>
      <w:r>
        <w:rPr>
          <w:rFonts w:ascii="仿宋" w:hAnsi="仿宋" w:eastAsia="仿宋" w:cs="仿宋"/>
          <w:spacing w:val="-8"/>
        </w:rPr>
        <w:t>基金会</w:t>
      </w:r>
      <w:r>
        <w:rPr>
          <w:spacing w:val="-8"/>
        </w:rPr>
        <w:t>理事会</w:t>
      </w:r>
      <w:r>
        <w:rPr>
          <w:rFonts w:ascii="仿宋" w:hAnsi="仿宋" w:eastAsia="仿宋" w:cs="仿宋"/>
          <w:spacing w:val="-8"/>
        </w:rPr>
        <w:t>审议通过之日起</w:t>
      </w:r>
      <w:r>
        <w:rPr>
          <w:spacing w:val="-8"/>
        </w:rPr>
        <w:t>实施。</w:t>
      </w:r>
    </w:p>
    <w:p w14:paraId="34EDCED1">
      <w:pPr>
        <w:spacing w:line="222" w:lineRule="auto"/>
        <w:sectPr>
          <w:pgSz w:w="11906" w:h="16839"/>
          <w:pgMar w:top="400" w:right="1785" w:bottom="400" w:left="1785" w:header="0" w:footer="850" w:gutter="0"/>
          <w:pgNumType w:fmt="decimal"/>
          <w:cols w:space="720" w:num="1"/>
        </w:sectPr>
      </w:pPr>
    </w:p>
    <w:p w14:paraId="44D3F20D">
      <w:pPr>
        <w:spacing w:line="258" w:lineRule="auto"/>
        <w:rPr>
          <w:rFonts w:ascii="Arial"/>
          <w:sz w:val="21"/>
        </w:rPr>
      </w:pPr>
    </w:p>
    <w:p w14:paraId="17D250D8">
      <w:pPr>
        <w:spacing w:line="258" w:lineRule="auto"/>
        <w:rPr>
          <w:rFonts w:ascii="Arial"/>
          <w:sz w:val="21"/>
        </w:rPr>
      </w:pPr>
    </w:p>
    <w:p w14:paraId="29E86984">
      <w:pPr>
        <w:spacing w:line="258" w:lineRule="auto"/>
        <w:rPr>
          <w:rFonts w:ascii="Arial"/>
          <w:sz w:val="21"/>
        </w:rPr>
      </w:pPr>
    </w:p>
    <w:p w14:paraId="51A7D5F7">
      <w:pPr>
        <w:spacing w:line="259" w:lineRule="auto"/>
        <w:rPr>
          <w:rFonts w:ascii="Arial"/>
          <w:sz w:val="21"/>
        </w:rPr>
      </w:pPr>
    </w:p>
    <w:p w14:paraId="0644905F">
      <w:pPr>
        <w:spacing w:before="120" w:line="219" w:lineRule="auto"/>
        <w:ind w:left="1315"/>
        <w:rPr>
          <w:rFonts w:ascii="方正舒体" w:hAnsi="方正舒体" w:eastAsia="方正舒体" w:cs="方正舒体"/>
          <w:sz w:val="35"/>
          <w:szCs w:val="35"/>
        </w:rPr>
      </w:pPr>
      <w:bookmarkStart w:id="19" w:name="bookmark23"/>
      <w:bookmarkEnd w:id="19"/>
      <w:r>
        <w:rPr>
          <w:rFonts w:ascii="方正舒体" w:hAnsi="方正舒体" w:eastAsia="方正舒体" w:cs="方正舒体"/>
          <w:spacing w:val="8"/>
          <w:sz w:val="35"/>
          <w:szCs w:val="35"/>
        </w:rPr>
        <w:t>青海湖生态保护基金会人力资源制度</w:t>
      </w:r>
    </w:p>
    <w:p w14:paraId="3C2AF1EF">
      <w:pPr>
        <w:spacing w:before="211" w:line="222" w:lineRule="auto"/>
        <w:ind w:left="1510"/>
        <w:rPr>
          <w:rFonts w:ascii="黑体" w:hAnsi="黑体" w:eastAsia="黑体" w:cs="黑体"/>
          <w:sz w:val="28"/>
          <w:szCs w:val="28"/>
        </w:rPr>
      </w:pPr>
      <w:r>
        <w:rPr>
          <w:rFonts w:ascii="黑体" w:hAnsi="黑体" w:eastAsia="黑体" w:cs="黑体"/>
          <w:b/>
          <w:bCs/>
          <w:spacing w:val="-3"/>
          <w:sz w:val="28"/>
          <w:szCs w:val="28"/>
        </w:rPr>
        <w:t>第三十四章</w:t>
      </w:r>
      <w:r>
        <w:rPr>
          <w:rFonts w:ascii="黑体" w:hAnsi="黑体" w:eastAsia="黑体" w:cs="黑体"/>
          <w:spacing w:val="-3"/>
          <w:sz w:val="28"/>
          <w:szCs w:val="28"/>
        </w:rPr>
        <w:t xml:space="preserve">  </w:t>
      </w:r>
      <w:r>
        <w:rPr>
          <w:rFonts w:ascii="黑体" w:hAnsi="黑体" w:eastAsia="黑体" w:cs="黑体"/>
          <w:b/>
          <w:bCs/>
          <w:spacing w:val="-3"/>
          <w:sz w:val="28"/>
          <w:szCs w:val="28"/>
        </w:rPr>
        <w:t>人力资源管理与发展指导方针</w:t>
      </w:r>
    </w:p>
    <w:p w14:paraId="78D5A854">
      <w:pPr>
        <w:spacing w:before="223" w:line="353" w:lineRule="auto"/>
        <w:ind w:left="83" w:right="38" w:firstLine="520"/>
        <w:rPr>
          <w:rFonts w:ascii="仿宋" w:hAnsi="仿宋" w:eastAsia="仿宋" w:cs="仿宋"/>
          <w:sz w:val="28"/>
          <w:szCs w:val="28"/>
        </w:rPr>
      </w:pPr>
      <w:r>
        <w:rPr>
          <w:rFonts w:ascii="仿宋" w:hAnsi="仿宋" w:eastAsia="仿宋" w:cs="仿宋"/>
          <w:b/>
          <w:bCs/>
          <w:sz w:val="28"/>
          <w:szCs w:val="28"/>
        </w:rPr>
        <w:t>第九十八条</w:t>
      </w:r>
      <w:r>
        <w:rPr>
          <w:rFonts w:ascii="仿宋" w:hAnsi="仿宋" w:eastAsia="仿宋" w:cs="仿宋"/>
          <w:sz w:val="28"/>
          <w:szCs w:val="28"/>
        </w:rPr>
        <w:t xml:space="preserve"> 基金会的所有员工应熟悉并遵循基金会的愿景、宗 </w:t>
      </w:r>
      <w:r>
        <w:rPr>
          <w:rFonts w:ascii="仿宋" w:hAnsi="仿宋" w:eastAsia="仿宋" w:cs="仿宋"/>
          <w:spacing w:val="-4"/>
          <w:sz w:val="28"/>
          <w:szCs w:val="28"/>
        </w:rPr>
        <w:t>旨、使命以及战略规划 和年度项目计划等内容。</w:t>
      </w:r>
    </w:p>
    <w:p w14:paraId="625C439D">
      <w:pPr>
        <w:spacing w:before="49" w:line="354" w:lineRule="auto"/>
        <w:ind w:left="33" w:right="38" w:firstLine="570"/>
        <w:rPr>
          <w:rFonts w:ascii="仿宋" w:hAnsi="仿宋" w:eastAsia="仿宋" w:cs="仿宋"/>
          <w:sz w:val="28"/>
          <w:szCs w:val="28"/>
        </w:rPr>
      </w:pPr>
      <w:r>
        <w:rPr>
          <w:rFonts w:ascii="仿宋" w:hAnsi="仿宋" w:eastAsia="仿宋" w:cs="仿宋"/>
          <w:b/>
          <w:bCs/>
          <w:sz w:val="28"/>
          <w:szCs w:val="28"/>
        </w:rPr>
        <w:t>第九十九条</w:t>
      </w:r>
      <w:r>
        <w:rPr>
          <w:rFonts w:ascii="仿宋" w:hAnsi="仿宋" w:eastAsia="仿宋" w:cs="仿宋"/>
          <w:sz w:val="28"/>
          <w:szCs w:val="28"/>
        </w:rPr>
        <w:t xml:space="preserve"> 每项政策经签字后，一份自己保留，另外一份存入 </w:t>
      </w:r>
      <w:r>
        <w:rPr>
          <w:rFonts w:ascii="仿宋" w:hAnsi="仿宋" w:eastAsia="仿宋" w:cs="仿宋"/>
          <w:spacing w:val="-4"/>
          <w:sz w:val="28"/>
          <w:szCs w:val="28"/>
        </w:rPr>
        <w:t>个人档案。</w:t>
      </w:r>
    </w:p>
    <w:p w14:paraId="522BF68E">
      <w:pPr>
        <w:pStyle w:val="2"/>
        <w:spacing w:before="47" w:line="222" w:lineRule="auto"/>
        <w:ind w:left="3056"/>
        <w:rPr>
          <w:rFonts w:ascii="黑体" w:hAnsi="黑体" w:eastAsia="黑体" w:cs="黑体"/>
        </w:rPr>
      </w:pPr>
      <w:r>
        <w:rPr>
          <w:spacing w:val="-2"/>
        </w:rPr>
        <w:t xml:space="preserve">第三十五章  </w:t>
      </w:r>
      <w:r>
        <w:rPr>
          <w:rFonts w:ascii="黑体" w:hAnsi="黑体" w:eastAsia="黑体" w:cs="黑体"/>
          <w:b/>
          <w:bCs/>
          <w:spacing w:val="-2"/>
        </w:rPr>
        <w:t>聘用</w:t>
      </w:r>
    </w:p>
    <w:p w14:paraId="4C564B5F">
      <w:pPr>
        <w:spacing w:before="223" w:line="358" w:lineRule="auto"/>
        <w:ind w:left="32" w:right="38" w:firstLine="571"/>
        <w:jc w:val="both"/>
        <w:rPr>
          <w:rFonts w:ascii="仿宋" w:hAnsi="仿宋" w:eastAsia="仿宋" w:cs="仿宋"/>
          <w:sz w:val="28"/>
          <w:szCs w:val="28"/>
        </w:rPr>
      </w:pPr>
      <w:r>
        <w:rPr>
          <w:rFonts w:ascii="仿宋" w:hAnsi="仿宋" w:eastAsia="仿宋" w:cs="仿宋"/>
          <w:b/>
          <w:bCs/>
          <w:sz w:val="28"/>
          <w:szCs w:val="28"/>
        </w:rPr>
        <w:t>第一百条</w:t>
      </w:r>
      <w:r>
        <w:rPr>
          <w:rFonts w:ascii="仿宋" w:hAnsi="仿宋" w:eastAsia="仿宋" w:cs="仿宋"/>
          <w:sz w:val="28"/>
          <w:szCs w:val="28"/>
        </w:rPr>
        <w:t xml:space="preserve"> 有职位空缺时，首先发布内部公告，考虑安排基金会</w:t>
      </w:r>
      <w:r>
        <w:rPr>
          <w:rFonts w:ascii="仿宋" w:hAnsi="仿宋" w:eastAsia="仿宋" w:cs="仿宋"/>
          <w:spacing w:val="3"/>
          <w:sz w:val="28"/>
          <w:szCs w:val="28"/>
        </w:rPr>
        <w:t xml:space="preserve"> </w:t>
      </w:r>
      <w:r>
        <w:rPr>
          <w:rFonts w:ascii="仿宋" w:hAnsi="仿宋" w:eastAsia="仿宋" w:cs="仿宋"/>
          <w:spacing w:val="-4"/>
          <w:sz w:val="28"/>
          <w:szCs w:val="28"/>
        </w:rPr>
        <w:t>已有员工；当内部候选人不能满足职务要求时，可以考虑使用公共广</w:t>
      </w:r>
      <w:r>
        <w:rPr>
          <w:rFonts w:ascii="仿宋" w:hAnsi="仿宋" w:eastAsia="仿宋" w:cs="仿宋"/>
          <w:spacing w:val="7"/>
          <w:sz w:val="28"/>
          <w:szCs w:val="28"/>
        </w:rPr>
        <w:t xml:space="preserve"> </w:t>
      </w:r>
      <w:r>
        <w:rPr>
          <w:rFonts w:ascii="仿宋" w:hAnsi="仿宋" w:eastAsia="仿宋" w:cs="仿宋"/>
          <w:spacing w:val="-2"/>
          <w:sz w:val="28"/>
          <w:szCs w:val="28"/>
        </w:rPr>
        <w:t>告和外部媒体的招聘方式。</w:t>
      </w:r>
    </w:p>
    <w:p w14:paraId="1A3AEE62">
      <w:pPr>
        <w:spacing w:before="48" w:line="355" w:lineRule="auto"/>
        <w:ind w:left="41" w:right="36" w:firstLine="562"/>
        <w:rPr>
          <w:rFonts w:ascii="仿宋" w:hAnsi="仿宋" w:eastAsia="仿宋" w:cs="仿宋"/>
          <w:sz w:val="28"/>
          <w:szCs w:val="28"/>
        </w:rPr>
      </w:pPr>
      <w:r>
        <w:rPr>
          <w:rFonts w:ascii="仿宋" w:hAnsi="仿宋" w:eastAsia="仿宋" w:cs="仿宋"/>
          <w:b/>
          <w:bCs/>
          <w:sz w:val="28"/>
          <w:szCs w:val="28"/>
        </w:rPr>
        <w:t>第一百〇一条</w:t>
      </w:r>
      <w:r>
        <w:rPr>
          <w:rFonts w:ascii="仿宋" w:hAnsi="仿宋" w:eastAsia="仿宋" w:cs="仿宋"/>
          <w:sz w:val="28"/>
          <w:szCs w:val="28"/>
        </w:rPr>
        <w:t xml:space="preserve"> 被聘用的候选人在加入基金会工作之前应与基金 </w:t>
      </w:r>
      <w:r>
        <w:rPr>
          <w:rFonts w:ascii="仿宋" w:hAnsi="仿宋" w:eastAsia="仿宋" w:cs="仿宋"/>
          <w:spacing w:val="-4"/>
          <w:sz w:val="28"/>
          <w:szCs w:val="28"/>
        </w:rPr>
        <w:t>会签订劳动合同。</w:t>
      </w:r>
    </w:p>
    <w:p w14:paraId="7DA6793A">
      <w:pPr>
        <w:pStyle w:val="2"/>
        <w:spacing w:before="45" w:line="222" w:lineRule="auto"/>
        <w:ind w:left="2775"/>
        <w:rPr>
          <w:rFonts w:ascii="黑体" w:hAnsi="黑体" w:eastAsia="黑体" w:cs="黑体"/>
        </w:rPr>
      </w:pPr>
      <w:r>
        <w:rPr>
          <w:spacing w:val="-2"/>
        </w:rPr>
        <w:t xml:space="preserve">第三十六章  </w:t>
      </w:r>
      <w:r>
        <w:rPr>
          <w:rFonts w:ascii="黑体" w:hAnsi="黑体" w:eastAsia="黑体" w:cs="黑体"/>
          <w:b/>
          <w:bCs/>
          <w:spacing w:val="-2"/>
        </w:rPr>
        <w:t>职责描述</w:t>
      </w:r>
    </w:p>
    <w:p w14:paraId="29D8A98E">
      <w:pPr>
        <w:spacing w:before="222" w:line="353" w:lineRule="auto"/>
        <w:ind w:left="33" w:right="36" w:firstLine="570"/>
        <w:rPr>
          <w:rFonts w:ascii="仿宋" w:hAnsi="仿宋" w:eastAsia="仿宋" w:cs="仿宋"/>
          <w:sz w:val="28"/>
          <w:szCs w:val="28"/>
        </w:rPr>
      </w:pPr>
      <w:r>
        <w:rPr>
          <w:rFonts w:ascii="仿宋" w:hAnsi="仿宋" w:eastAsia="仿宋" w:cs="仿宋"/>
          <w:b/>
          <w:bCs/>
          <w:spacing w:val="-2"/>
          <w:sz w:val="28"/>
          <w:szCs w:val="28"/>
        </w:rPr>
        <w:t>第一百〇</w:t>
      </w:r>
      <w:r>
        <w:rPr>
          <w:rFonts w:ascii="仿宋" w:hAnsi="仿宋" w:eastAsia="仿宋" w:cs="仿宋"/>
          <w:spacing w:val="-84"/>
          <w:sz w:val="28"/>
          <w:szCs w:val="28"/>
        </w:rPr>
        <w:t xml:space="preserve"> </w:t>
      </w:r>
      <w:r>
        <w:rPr>
          <w:rFonts w:ascii="仿宋" w:hAnsi="仿宋" w:eastAsia="仿宋" w:cs="仿宋"/>
          <w:b/>
          <w:bCs/>
          <w:spacing w:val="-2"/>
          <w:sz w:val="28"/>
          <w:szCs w:val="28"/>
        </w:rPr>
        <w:t>二条</w:t>
      </w:r>
      <w:r>
        <w:rPr>
          <w:rFonts w:ascii="仿宋" w:hAnsi="仿宋" w:eastAsia="仿宋" w:cs="仿宋"/>
          <w:spacing w:val="-2"/>
          <w:sz w:val="28"/>
          <w:szCs w:val="28"/>
        </w:rPr>
        <w:t xml:space="preserve"> 作为日常工作的指导纲要，员工应签订一份与直</w:t>
      </w:r>
      <w:r>
        <w:rPr>
          <w:rFonts w:ascii="仿宋" w:hAnsi="仿宋" w:eastAsia="仿宋" w:cs="仿宋"/>
          <w:sz w:val="28"/>
          <w:szCs w:val="28"/>
        </w:rPr>
        <w:t xml:space="preserve"> </w:t>
      </w:r>
      <w:r>
        <w:rPr>
          <w:rFonts w:ascii="仿宋" w:hAnsi="仿宋" w:eastAsia="仿宋" w:cs="仿宋"/>
          <w:spacing w:val="-1"/>
          <w:sz w:val="28"/>
          <w:szCs w:val="28"/>
        </w:rPr>
        <w:t>接上司讨论并获批准的岗位职责说明书。</w:t>
      </w:r>
    </w:p>
    <w:p w14:paraId="5D5BE2CD">
      <w:pPr>
        <w:pStyle w:val="2"/>
        <w:spacing w:before="49" w:line="353" w:lineRule="auto"/>
        <w:ind w:left="2774" w:right="955" w:hanging="2171"/>
        <w:rPr>
          <w:rFonts w:ascii="黑体" w:hAnsi="黑体" w:eastAsia="黑体" w:cs="黑体"/>
        </w:rPr>
      </w:pPr>
      <w:r>
        <w:rPr>
          <w:rFonts w:ascii="仿宋" w:hAnsi="仿宋" w:eastAsia="仿宋" w:cs="仿宋"/>
          <w:b/>
          <w:bCs/>
          <w:spacing w:val="-6"/>
        </w:rPr>
        <w:t>第一百〇三条</w:t>
      </w:r>
      <w:r>
        <w:rPr>
          <w:rFonts w:ascii="仿宋" w:hAnsi="仿宋" w:eastAsia="仿宋" w:cs="仿宋"/>
          <w:spacing w:val="65"/>
        </w:rPr>
        <w:t xml:space="preserve"> </w:t>
      </w:r>
      <w:r>
        <w:rPr>
          <w:rFonts w:ascii="仿宋" w:hAnsi="仿宋" w:eastAsia="仿宋" w:cs="仿宋"/>
          <w:spacing w:val="-6"/>
        </w:rPr>
        <w:t>岗位职责应定期或根据需要回顾和更新。</w:t>
      </w:r>
      <w:r>
        <w:rPr>
          <w:rFonts w:ascii="仿宋" w:hAnsi="仿宋" w:eastAsia="仿宋" w:cs="仿宋"/>
        </w:rPr>
        <w:t xml:space="preserve"> </w:t>
      </w:r>
      <w:r>
        <w:rPr>
          <w:spacing w:val="-2"/>
        </w:rPr>
        <w:t xml:space="preserve">第三十七章  </w:t>
      </w:r>
      <w:r>
        <w:rPr>
          <w:rFonts w:ascii="黑体" w:hAnsi="黑体" w:eastAsia="黑体" w:cs="黑体"/>
          <w:b/>
          <w:bCs/>
          <w:spacing w:val="-2"/>
        </w:rPr>
        <w:t>办公时间</w:t>
      </w:r>
    </w:p>
    <w:p w14:paraId="282D832E">
      <w:pPr>
        <w:spacing w:before="49" w:line="221" w:lineRule="auto"/>
        <w:ind w:left="603"/>
        <w:rPr>
          <w:rFonts w:ascii="仿宋" w:hAnsi="仿宋" w:eastAsia="仿宋" w:cs="仿宋"/>
          <w:sz w:val="28"/>
          <w:szCs w:val="28"/>
        </w:rPr>
      </w:pPr>
      <w:r>
        <w:rPr>
          <w:rFonts w:ascii="仿宋" w:hAnsi="仿宋" w:eastAsia="仿宋" w:cs="仿宋"/>
          <w:b/>
          <w:bCs/>
          <w:spacing w:val="-1"/>
          <w:sz w:val="28"/>
          <w:szCs w:val="28"/>
        </w:rPr>
        <w:t>第一百〇四条</w:t>
      </w:r>
      <w:r>
        <w:rPr>
          <w:rFonts w:ascii="仿宋" w:hAnsi="仿宋" w:eastAsia="仿宋" w:cs="仿宋"/>
          <w:spacing w:val="-1"/>
          <w:sz w:val="28"/>
          <w:szCs w:val="28"/>
        </w:rPr>
        <w:t xml:space="preserve"> 办公时间：星期一至星期五 9</w:t>
      </w:r>
      <w:r>
        <w:rPr>
          <w:rFonts w:ascii="仿宋" w:hAnsi="仿宋" w:eastAsia="仿宋" w:cs="仿宋"/>
          <w:spacing w:val="-2"/>
          <w:sz w:val="28"/>
          <w:szCs w:val="28"/>
        </w:rPr>
        <w:t>：00—18：00。</w:t>
      </w:r>
    </w:p>
    <w:p w14:paraId="471100FB">
      <w:pPr>
        <w:spacing w:before="225" w:line="222" w:lineRule="auto"/>
        <w:jc w:val="right"/>
        <w:rPr>
          <w:rFonts w:ascii="仿宋" w:hAnsi="仿宋" w:eastAsia="仿宋" w:cs="仿宋"/>
          <w:sz w:val="28"/>
          <w:szCs w:val="28"/>
        </w:rPr>
      </w:pPr>
      <w:r>
        <w:rPr>
          <w:rFonts w:ascii="仿宋" w:hAnsi="仿宋" w:eastAsia="仿宋" w:cs="仿宋"/>
          <w:b/>
          <w:bCs/>
          <w:spacing w:val="-4"/>
          <w:sz w:val="28"/>
          <w:szCs w:val="28"/>
        </w:rPr>
        <w:t>第一百〇五条</w:t>
      </w:r>
      <w:r>
        <w:rPr>
          <w:rFonts w:ascii="仿宋" w:hAnsi="仿宋" w:eastAsia="仿宋" w:cs="仿宋"/>
          <w:spacing w:val="-4"/>
          <w:sz w:val="28"/>
          <w:szCs w:val="28"/>
        </w:rPr>
        <w:t xml:space="preserve"> 午餐时间：12:00—14:00 之间，时间为</w:t>
      </w:r>
      <w:r>
        <w:rPr>
          <w:rFonts w:ascii="仿宋" w:hAnsi="仿宋" w:eastAsia="仿宋" w:cs="仿宋"/>
          <w:spacing w:val="-57"/>
          <w:sz w:val="28"/>
          <w:szCs w:val="28"/>
        </w:rPr>
        <w:t xml:space="preserve"> </w:t>
      </w:r>
      <w:r>
        <w:rPr>
          <w:rFonts w:ascii="仿宋" w:hAnsi="仿宋" w:eastAsia="仿宋" w:cs="仿宋"/>
          <w:spacing w:val="-4"/>
          <w:sz w:val="28"/>
          <w:szCs w:val="28"/>
        </w:rPr>
        <w:t>2</w:t>
      </w:r>
      <w:r>
        <w:rPr>
          <w:rFonts w:ascii="仿宋" w:hAnsi="仿宋" w:eastAsia="仿宋" w:cs="仿宋"/>
          <w:spacing w:val="-51"/>
          <w:sz w:val="28"/>
          <w:szCs w:val="28"/>
        </w:rPr>
        <w:t xml:space="preserve"> </w:t>
      </w:r>
      <w:r>
        <w:rPr>
          <w:rFonts w:ascii="仿宋" w:hAnsi="仿宋" w:eastAsia="仿宋" w:cs="仿宋"/>
          <w:spacing w:val="-4"/>
          <w:sz w:val="28"/>
          <w:szCs w:val="28"/>
        </w:rPr>
        <w:t>小时；</w:t>
      </w:r>
    </w:p>
    <w:p w14:paraId="7B29454A">
      <w:pPr>
        <w:spacing w:before="226" w:line="353" w:lineRule="auto"/>
        <w:ind w:left="40" w:right="36" w:firstLine="563"/>
        <w:rPr>
          <w:rFonts w:ascii="仿宋" w:hAnsi="仿宋" w:eastAsia="仿宋" w:cs="仿宋"/>
          <w:sz w:val="28"/>
          <w:szCs w:val="28"/>
        </w:rPr>
      </w:pPr>
      <w:r>
        <w:rPr>
          <w:rFonts w:ascii="仿宋" w:hAnsi="仿宋" w:eastAsia="仿宋" w:cs="仿宋"/>
          <w:b/>
          <w:bCs/>
          <w:spacing w:val="-2"/>
          <w:sz w:val="28"/>
          <w:szCs w:val="28"/>
        </w:rPr>
        <w:t>第一百〇六条</w:t>
      </w:r>
      <w:r>
        <w:rPr>
          <w:rFonts w:ascii="仿宋" w:hAnsi="仿宋" w:eastAsia="仿宋" w:cs="仿宋"/>
          <w:spacing w:val="54"/>
          <w:sz w:val="28"/>
          <w:szCs w:val="28"/>
        </w:rPr>
        <w:t xml:space="preserve"> </w:t>
      </w:r>
      <w:r>
        <w:rPr>
          <w:rFonts w:ascii="仿宋" w:hAnsi="仿宋" w:eastAsia="仿宋" w:cs="仿宋"/>
          <w:spacing w:val="-2"/>
          <w:sz w:val="28"/>
          <w:szCs w:val="28"/>
        </w:rPr>
        <w:t>员工在办公时间外出开会或办事，应提前告知其</w:t>
      </w:r>
      <w:r>
        <w:rPr>
          <w:rFonts w:ascii="仿宋" w:hAnsi="仿宋" w:eastAsia="仿宋" w:cs="仿宋"/>
          <w:sz w:val="28"/>
          <w:szCs w:val="28"/>
        </w:rPr>
        <w:t xml:space="preserve"> </w:t>
      </w:r>
      <w:r>
        <w:rPr>
          <w:rFonts w:ascii="仿宋" w:hAnsi="仿宋" w:eastAsia="仿宋" w:cs="仿宋"/>
          <w:spacing w:val="-1"/>
          <w:sz w:val="28"/>
          <w:szCs w:val="28"/>
        </w:rPr>
        <w:t>主管时间、地点、事宜及 能够及时联络上的联系方</w:t>
      </w:r>
      <w:r>
        <w:rPr>
          <w:rFonts w:ascii="仿宋" w:hAnsi="仿宋" w:eastAsia="仿宋" w:cs="仿宋"/>
          <w:spacing w:val="-2"/>
          <w:sz w:val="28"/>
          <w:szCs w:val="28"/>
        </w:rPr>
        <w:t>式。</w:t>
      </w:r>
    </w:p>
    <w:p w14:paraId="67DDCE7E">
      <w:pPr>
        <w:spacing w:before="49" w:line="222" w:lineRule="auto"/>
        <w:ind w:left="3056"/>
        <w:rPr>
          <w:rFonts w:ascii="黑体" w:hAnsi="黑体" w:eastAsia="黑体" w:cs="黑体"/>
          <w:sz w:val="28"/>
          <w:szCs w:val="28"/>
        </w:rPr>
      </w:pPr>
      <w:r>
        <w:rPr>
          <w:rFonts w:ascii="黑体" w:hAnsi="黑体" w:eastAsia="黑体" w:cs="黑体"/>
          <w:b/>
          <w:bCs/>
          <w:spacing w:val="-4"/>
          <w:sz w:val="28"/>
          <w:szCs w:val="28"/>
        </w:rPr>
        <w:t>第三十八章</w:t>
      </w:r>
      <w:r>
        <w:rPr>
          <w:rFonts w:ascii="黑体" w:hAnsi="黑体" w:eastAsia="黑体" w:cs="黑体"/>
          <w:spacing w:val="-4"/>
          <w:sz w:val="28"/>
          <w:szCs w:val="28"/>
        </w:rPr>
        <w:t xml:space="preserve">  </w:t>
      </w:r>
      <w:r>
        <w:rPr>
          <w:rFonts w:ascii="黑体" w:hAnsi="黑体" w:eastAsia="黑体" w:cs="黑体"/>
          <w:b/>
          <w:bCs/>
          <w:spacing w:val="-4"/>
          <w:sz w:val="28"/>
          <w:szCs w:val="28"/>
        </w:rPr>
        <w:t>薪酬</w:t>
      </w:r>
    </w:p>
    <w:p w14:paraId="16E9A040">
      <w:pPr>
        <w:spacing w:line="342" w:lineRule="auto"/>
        <w:rPr>
          <w:rFonts w:ascii="Arial"/>
          <w:sz w:val="21"/>
        </w:rPr>
      </w:pPr>
    </w:p>
    <w:p w14:paraId="61920DD3">
      <w:pPr>
        <w:spacing w:line="343" w:lineRule="auto"/>
        <w:rPr>
          <w:rFonts w:ascii="Arial"/>
          <w:sz w:val="21"/>
        </w:rPr>
      </w:pPr>
    </w:p>
    <w:p w14:paraId="3EFF69F9">
      <w:pPr>
        <w:spacing w:before="92" w:line="221" w:lineRule="auto"/>
        <w:ind w:left="603"/>
        <w:rPr>
          <w:rFonts w:ascii="仿宋" w:hAnsi="仿宋" w:eastAsia="仿宋" w:cs="仿宋"/>
          <w:sz w:val="28"/>
          <w:szCs w:val="28"/>
        </w:rPr>
      </w:pPr>
      <w:r>
        <w:rPr>
          <w:rFonts w:ascii="仿宋" w:hAnsi="仿宋" w:eastAsia="仿宋" w:cs="仿宋"/>
          <w:b/>
          <w:bCs/>
          <w:spacing w:val="-9"/>
          <w:sz w:val="28"/>
          <w:szCs w:val="28"/>
        </w:rPr>
        <w:t>第一百〇七条</w:t>
      </w:r>
      <w:r>
        <w:rPr>
          <w:rFonts w:ascii="仿宋" w:hAnsi="仿宋" w:eastAsia="仿宋" w:cs="仿宋"/>
          <w:spacing w:val="27"/>
          <w:sz w:val="28"/>
          <w:szCs w:val="28"/>
        </w:rPr>
        <w:t xml:space="preserve"> </w:t>
      </w:r>
      <w:r>
        <w:rPr>
          <w:rFonts w:ascii="仿宋" w:hAnsi="仿宋" w:eastAsia="仿宋" w:cs="仿宋"/>
          <w:b/>
          <w:bCs/>
          <w:spacing w:val="-9"/>
          <w:sz w:val="28"/>
          <w:szCs w:val="28"/>
        </w:rPr>
        <w:t>工资</w:t>
      </w:r>
    </w:p>
    <w:p w14:paraId="31C4DD05">
      <w:pPr>
        <w:spacing w:line="221" w:lineRule="auto"/>
        <w:rPr>
          <w:rFonts w:ascii="仿宋" w:hAnsi="仿宋" w:eastAsia="仿宋" w:cs="仿宋"/>
          <w:sz w:val="28"/>
          <w:szCs w:val="28"/>
        </w:rPr>
        <w:sectPr>
          <w:pgSz w:w="11906" w:h="16839"/>
          <w:pgMar w:top="400" w:right="1760" w:bottom="400" w:left="1785" w:header="0" w:footer="850" w:gutter="0"/>
          <w:pgNumType w:fmt="decimal"/>
          <w:cols w:space="720" w:num="1"/>
        </w:sectPr>
      </w:pPr>
    </w:p>
    <w:p w14:paraId="46F32341">
      <w:pPr>
        <w:spacing w:line="286" w:lineRule="auto"/>
        <w:rPr>
          <w:rFonts w:ascii="Arial"/>
          <w:sz w:val="21"/>
        </w:rPr>
      </w:pPr>
    </w:p>
    <w:p w14:paraId="6F4D36DF">
      <w:pPr>
        <w:spacing w:line="287" w:lineRule="auto"/>
        <w:rPr>
          <w:rFonts w:ascii="Arial"/>
          <w:sz w:val="21"/>
        </w:rPr>
      </w:pPr>
    </w:p>
    <w:p w14:paraId="5E0BB52A">
      <w:pPr>
        <w:spacing w:line="287" w:lineRule="auto"/>
        <w:rPr>
          <w:rFonts w:ascii="Arial"/>
          <w:sz w:val="21"/>
        </w:rPr>
      </w:pPr>
    </w:p>
    <w:p w14:paraId="1347271C">
      <w:pPr>
        <w:spacing w:line="287" w:lineRule="auto"/>
        <w:rPr>
          <w:rFonts w:ascii="Arial"/>
          <w:sz w:val="21"/>
        </w:rPr>
      </w:pPr>
    </w:p>
    <w:p w14:paraId="467D23D5">
      <w:pPr>
        <w:spacing w:before="91" w:line="221" w:lineRule="auto"/>
        <w:ind w:left="603"/>
        <w:rPr>
          <w:rFonts w:ascii="仿宋" w:hAnsi="仿宋" w:eastAsia="仿宋" w:cs="仿宋"/>
          <w:sz w:val="28"/>
          <w:szCs w:val="28"/>
        </w:rPr>
      </w:pPr>
      <w:r>
        <w:rPr>
          <w:rFonts w:ascii="仿宋" w:hAnsi="仿宋" w:eastAsia="仿宋" w:cs="仿宋"/>
          <w:spacing w:val="-3"/>
          <w:sz w:val="28"/>
          <w:szCs w:val="28"/>
        </w:rPr>
        <w:t>1.月均工作日为</w:t>
      </w:r>
      <w:r>
        <w:rPr>
          <w:rFonts w:ascii="仿宋" w:hAnsi="仿宋" w:eastAsia="仿宋" w:cs="仿宋"/>
          <w:spacing w:val="-46"/>
          <w:sz w:val="28"/>
          <w:szCs w:val="28"/>
        </w:rPr>
        <w:t xml:space="preserve"> </w:t>
      </w:r>
      <w:r>
        <w:rPr>
          <w:rFonts w:ascii="仿宋" w:hAnsi="仿宋" w:eastAsia="仿宋" w:cs="仿宋"/>
          <w:spacing w:val="-3"/>
          <w:sz w:val="28"/>
          <w:szCs w:val="28"/>
        </w:rPr>
        <w:t>21.75</w:t>
      </w:r>
      <w:r>
        <w:rPr>
          <w:rFonts w:ascii="仿宋" w:hAnsi="仿宋" w:eastAsia="仿宋" w:cs="仿宋"/>
          <w:spacing w:val="-52"/>
          <w:sz w:val="28"/>
          <w:szCs w:val="28"/>
        </w:rPr>
        <w:t xml:space="preserve"> </w:t>
      </w:r>
      <w:r>
        <w:rPr>
          <w:rFonts w:ascii="仿宋" w:hAnsi="仿宋" w:eastAsia="仿宋" w:cs="仿宋"/>
          <w:spacing w:val="-3"/>
          <w:sz w:val="28"/>
          <w:szCs w:val="28"/>
        </w:rPr>
        <w:t>天，并以此计算月工资。</w:t>
      </w:r>
    </w:p>
    <w:p w14:paraId="2BB9A9D8">
      <w:pPr>
        <w:spacing w:before="228" w:line="353" w:lineRule="auto"/>
        <w:ind w:left="39" w:right="55" w:firstLine="547"/>
        <w:rPr>
          <w:rFonts w:ascii="仿宋" w:hAnsi="仿宋" w:eastAsia="仿宋" w:cs="仿宋"/>
          <w:sz w:val="28"/>
          <w:szCs w:val="28"/>
        </w:rPr>
      </w:pPr>
      <w:r>
        <w:rPr>
          <w:rFonts w:ascii="仿宋" w:hAnsi="仿宋" w:eastAsia="仿宋" w:cs="仿宋"/>
          <w:spacing w:val="-4"/>
          <w:sz w:val="28"/>
          <w:szCs w:val="28"/>
        </w:rPr>
        <w:t>2.员工有责任对工资信息保密，只有被授权人员方可编制、审核</w:t>
      </w:r>
      <w:r>
        <w:rPr>
          <w:rFonts w:ascii="仿宋" w:hAnsi="仿宋" w:eastAsia="仿宋" w:cs="仿宋"/>
          <w:spacing w:val="9"/>
          <w:sz w:val="28"/>
          <w:szCs w:val="28"/>
        </w:rPr>
        <w:t xml:space="preserve"> </w:t>
      </w:r>
      <w:r>
        <w:rPr>
          <w:rFonts w:ascii="仿宋" w:hAnsi="仿宋" w:eastAsia="仿宋" w:cs="仿宋"/>
          <w:spacing w:val="-2"/>
          <w:sz w:val="28"/>
          <w:szCs w:val="28"/>
        </w:rPr>
        <w:t>工资表以及与工资相关的信息。</w:t>
      </w:r>
    </w:p>
    <w:p w14:paraId="3E59A234">
      <w:pPr>
        <w:spacing w:before="45" w:line="355" w:lineRule="auto"/>
        <w:ind w:left="34" w:right="55" w:firstLine="553"/>
        <w:rPr>
          <w:rFonts w:ascii="仿宋" w:hAnsi="仿宋" w:eastAsia="仿宋" w:cs="仿宋"/>
          <w:sz w:val="28"/>
          <w:szCs w:val="28"/>
        </w:rPr>
      </w:pPr>
      <w:r>
        <w:rPr>
          <w:rFonts w:ascii="仿宋" w:hAnsi="仿宋" w:eastAsia="仿宋" w:cs="仿宋"/>
          <w:spacing w:val="-7"/>
          <w:sz w:val="28"/>
          <w:szCs w:val="28"/>
        </w:rPr>
        <w:t>3.基金会由行政部门每个工作日记录考勤，并在每月</w:t>
      </w:r>
      <w:r>
        <w:rPr>
          <w:rFonts w:ascii="仿宋" w:hAnsi="仿宋" w:eastAsia="仿宋" w:cs="仿宋"/>
          <w:spacing w:val="-40"/>
          <w:sz w:val="28"/>
          <w:szCs w:val="28"/>
        </w:rPr>
        <w:t xml:space="preserve"> </w:t>
      </w:r>
      <w:r>
        <w:rPr>
          <w:rFonts w:ascii="仿宋" w:hAnsi="仿宋" w:eastAsia="仿宋" w:cs="仿宋"/>
          <w:spacing w:val="-7"/>
          <w:sz w:val="28"/>
          <w:szCs w:val="28"/>
        </w:rPr>
        <w:t>2 日前将考</w:t>
      </w:r>
      <w:r>
        <w:rPr>
          <w:rFonts w:ascii="仿宋" w:hAnsi="仿宋" w:eastAsia="仿宋" w:cs="仿宋"/>
          <w:sz w:val="28"/>
          <w:szCs w:val="28"/>
        </w:rPr>
        <w:t xml:space="preserve"> </w:t>
      </w:r>
      <w:r>
        <w:rPr>
          <w:rFonts w:ascii="仿宋" w:hAnsi="仿宋" w:eastAsia="仿宋" w:cs="仿宋"/>
          <w:spacing w:val="-1"/>
          <w:sz w:val="28"/>
          <w:szCs w:val="28"/>
        </w:rPr>
        <w:t>勤记录递交行政人员以便统计，由行政官员批准。</w:t>
      </w:r>
    </w:p>
    <w:p w14:paraId="2FEF3B20">
      <w:pPr>
        <w:spacing w:before="46" w:line="353" w:lineRule="auto"/>
        <w:ind w:left="40" w:right="20" w:firstLine="541"/>
        <w:rPr>
          <w:rFonts w:ascii="仿宋" w:hAnsi="仿宋" w:eastAsia="仿宋" w:cs="仿宋"/>
          <w:sz w:val="28"/>
          <w:szCs w:val="28"/>
        </w:rPr>
      </w:pPr>
      <w:r>
        <w:rPr>
          <w:rFonts w:ascii="仿宋" w:hAnsi="仿宋" w:eastAsia="仿宋" w:cs="仿宋"/>
          <w:spacing w:val="-2"/>
          <w:sz w:val="28"/>
          <w:szCs w:val="28"/>
        </w:rPr>
        <w:t>4.行政部门根据工作合同，变更通知书和</w:t>
      </w:r>
      <w:r>
        <w:rPr>
          <w:rFonts w:ascii="仿宋" w:hAnsi="仿宋" w:eastAsia="仿宋" w:cs="仿宋"/>
          <w:spacing w:val="-3"/>
          <w:sz w:val="28"/>
          <w:szCs w:val="28"/>
        </w:rPr>
        <w:t>对考勤及调整的确认，</w:t>
      </w:r>
      <w:r>
        <w:rPr>
          <w:rFonts w:ascii="仿宋" w:hAnsi="仿宋" w:eastAsia="仿宋" w:cs="仿宋"/>
          <w:sz w:val="28"/>
          <w:szCs w:val="28"/>
        </w:rPr>
        <w:t xml:space="preserve"> </w:t>
      </w:r>
      <w:r>
        <w:rPr>
          <w:rFonts w:ascii="仿宋" w:hAnsi="仿宋" w:eastAsia="仿宋" w:cs="仿宋"/>
          <w:spacing w:val="-4"/>
          <w:sz w:val="28"/>
          <w:szCs w:val="28"/>
        </w:rPr>
        <w:t>负责编制工资表。</w:t>
      </w:r>
    </w:p>
    <w:p w14:paraId="72824F46">
      <w:pPr>
        <w:spacing w:before="47" w:line="222" w:lineRule="auto"/>
        <w:jc w:val="right"/>
        <w:rPr>
          <w:rFonts w:ascii="仿宋" w:hAnsi="仿宋" w:eastAsia="仿宋" w:cs="仿宋"/>
          <w:sz w:val="28"/>
          <w:szCs w:val="28"/>
        </w:rPr>
      </w:pPr>
      <w:r>
        <w:rPr>
          <w:rFonts w:ascii="仿宋" w:hAnsi="仿宋" w:eastAsia="仿宋" w:cs="仿宋"/>
          <w:spacing w:val="-2"/>
          <w:sz w:val="28"/>
          <w:szCs w:val="28"/>
        </w:rPr>
        <w:t>5.每月工资表应通过行政官员审核，经秘书长批准后方可发放。</w:t>
      </w:r>
    </w:p>
    <w:p w14:paraId="45FA6872">
      <w:pPr>
        <w:spacing w:before="222" w:line="353" w:lineRule="auto"/>
        <w:ind w:left="41" w:right="55" w:firstLine="543"/>
        <w:rPr>
          <w:rFonts w:ascii="仿宋" w:hAnsi="仿宋" w:eastAsia="仿宋" w:cs="仿宋"/>
          <w:sz w:val="28"/>
          <w:szCs w:val="28"/>
        </w:rPr>
      </w:pPr>
      <w:r>
        <w:rPr>
          <w:rFonts w:ascii="仿宋" w:hAnsi="仿宋" w:eastAsia="仿宋" w:cs="仿宋"/>
          <w:spacing w:val="-4"/>
          <w:sz w:val="28"/>
          <w:szCs w:val="28"/>
        </w:rPr>
        <w:t>6.个人所得税从个人的当月工资中扣除，扣除标准根据国家法律</w:t>
      </w:r>
      <w:r>
        <w:rPr>
          <w:rFonts w:ascii="仿宋" w:hAnsi="仿宋" w:eastAsia="仿宋" w:cs="仿宋"/>
          <w:spacing w:val="10"/>
          <w:sz w:val="28"/>
          <w:szCs w:val="28"/>
        </w:rPr>
        <w:t xml:space="preserve"> </w:t>
      </w:r>
      <w:r>
        <w:rPr>
          <w:rFonts w:ascii="仿宋" w:hAnsi="仿宋" w:eastAsia="仿宋" w:cs="仿宋"/>
          <w:spacing w:val="-2"/>
          <w:sz w:val="28"/>
          <w:szCs w:val="28"/>
        </w:rPr>
        <w:t>法规并遵循当地税务部门的规定。</w:t>
      </w:r>
    </w:p>
    <w:p w14:paraId="6A72C5F3">
      <w:pPr>
        <w:spacing w:before="51" w:line="221" w:lineRule="auto"/>
        <w:ind w:left="603"/>
        <w:rPr>
          <w:rFonts w:ascii="仿宋" w:hAnsi="仿宋" w:eastAsia="仿宋" w:cs="仿宋"/>
          <w:sz w:val="28"/>
          <w:szCs w:val="28"/>
        </w:rPr>
      </w:pPr>
      <w:r>
        <w:rPr>
          <w:rFonts w:ascii="仿宋" w:hAnsi="仿宋" w:eastAsia="仿宋" w:cs="仿宋"/>
          <w:b/>
          <w:bCs/>
          <w:spacing w:val="-4"/>
          <w:sz w:val="28"/>
          <w:szCs w:val="28"/>
        </w:rPr>
        <w:t>第一百〇八条</w:t>
      </w:r>
      <w:r>
        <w:rPr>
          <w:rFonts w:ascii="仿宋" w:hAnsi="仿宋" w:eastAsia="仿宋" w:cs="仿宋"/>
          <w:spacing w:val="-4"/>
          <w:sz w:val="28"/>
          <w:szCs w:val="28"/>
        </w:rPr>
        <w:t xml:space="preserve"> </w:t>
      </w:r>
      <w:r>
        <w:rPr>
          <w:rFonts w:ascii="仿宋" w:hAnsi="仿宋" w:eastAsia="仿宋" w:cs="仿宋"/>
          <w:b/>
          <w:bCs/>
          <w:spacing w:val="-4"/>
          <w:sz w:val="28"/>
          <w:szCs w:val="28"/>
        </w:rPr>
        <w:t>第十三个月工资</w:t>
      </w:r>
    </w:p>
    <w:p w14:paraId="0B5F940E">
      <w:pPr>
        <w:spacing w:before="225" w:line="352" w:lineRule="auto"/>
        <w:ind w:left="46" w:right="55" w:firstLine="556"/>
        <w:rPr>
          <w:rFonts w:ascii="仿宋" w:hAnsi="仿宋" w:eastAsia="仿宋" w:cs="仿宋"/>
          <w:sz w:val="28"/>
          <w:szCs w:val="28"/>
        </w:rPr>
      </w:pPr>
      <w:r>
        <w:rPr>
          <w:rFonts w:ascii="仿宋" w:hAnsi="仿宋" w:eastAsia="仿宋" w:cs="仿宋"/>
          <w:spacing w:val="-4"/>
          <w:sz w:val="28"/>
          <w:szCs w:val="28"/>
        </w:rPr>
        <w:t>1.基金会预算允许情况下，支付第十三个月</w:t>
      </w:r>
      <w:r>
        <w:rPr>
          <w:rFonts w:ascii="仿宋" w:hAnsi="仿宋" w:eastAsia="仿宋" w:cs="仿宋"/>
          <w:spacing w:val="-5"/>
          <w:sz w:val="28"/>
          <w:szCs w:val="28"/>
        </w:rPr>
        <w:t>工资。第十三个月工</w:t>
      </w:r>
      <w:r>
        <w:rPr>
          <w:rFonts w:ascii="仿宋" w:hAnsi="仿宋" w:eastAsia="仿宋" w:cs="仿宋"/>
          <w:sz w:val="28"/>
          <w:szCs w:val="28"/>
        </w:rPr>
        <w:t xml:space="preserve"> </w:t>
      </w:r>
      <w:r>
        <w:rPr>
          <w:rFonts w:ascii="仿宋" w:hAnsi="仿宋" w:eastAsia="仿宋" w:cs="仿宋"/>
          <w:spacing w:val="-3"/>
          <w:sz w:val="28"/>
          <w:szCs w:val="28"/>
        </w:rPr>
        <w:t>资只在每年一月份支付一次。</w:t>
      </w:r>
    </w:p>
    <w:p w14:paraId="21476658">
      <w:pPr>
        <w:spacing w:before="51" w:line="222" w:lineRule="auto"/>
        <w:ind w:left="586"/>
        <w:rPr>
          <w:rFonts w:ascii="仿宋" w:hAnsi="仿宋" w:eastAsia="仿宋" w:cs="仿宋"/>
          <w:sz w:val="28"/>
          <w:szCs w:val="28"/>
        </w:rPr>
      </w:pPr>
      <w:r>
        <w:rPr>
          <w:rFonts w:ascii="仿宋" w:hAnsi="仿宋" w:eastAsia="仿宋" w:cs="仿宋"/>
          <w:spacing w:val="-1"/>
          <w:sz w:val="28"/>
          <w:szCs w:val="28"/>
        </w:rPr>
        <w:t>2.符合所有下列条件的员工有权享受第十三个月工资：</w:t>
      </w:r>
    </w:p>
    <w:p w14:paraId="2A4B99C5">
      <w:pPr>
        <w:spacing w:before="223" w:line="221" w:lineRule="auto"/>
        <w:ind w:left="453"/>
        <w:rPr>
          <w:rFonts w:ascii="仿宋" w:hAnsi="仿宋" w:eastAsia="仿宋" w:cs="仿宋"/>
          <w:sz w:val="28"/>
          <w:szCs w:val="28"/>
        </w:rPr>
      </w:pPr>
      <w:r>
        <w:rPr>
          <w:rFonts w:ascii="仿宋" w:hAnsi="仿宋" w:eastAsia="仿宋" w:cs="仿宋"/>
          <w:spacing w:val="-2"/>
          <w:sz w:val="28"/>
          <w:szCs w:val="28"/>
        </w:rPr>
        <w:t>（1）基金会工作的全职员工；</w:t>
      </w:r>
    </w:p>
    <w:p w14:paraId="769402DF">
      <w:pPr>
        <w:spacing w:before="225" w:line="220" w:lineRule="auto"/>
        <w:ind w:left="453"/>
        <w:rPr>
          <w:rFonts w:ascii="仿宋" w:hAnsi="仿宋" w:eastAsia="仿宋" w:cs="仿宋"/>
          <w:sz w:val="28"/>
          <w:szCs w:val="28"/>
        </w:rPr>
      </w:pPr>
      <w:r>
        <w:rPr>
          <w:rFonts w:ascii="仿宋" w:hAnsi="仿宋" w:eastAsia="仿宋" w:cs="仿宋"/>
          <w:spacing w:val="-1"/>
          <w:sz w:val="28"/>
          <w:szCs w:val="28"/>
        </w:rPr>
        <w:t>（2）在每年一月支付第十三个月工资时依然在基金会工作；</w:t>
      </w:r>
    </w:p>
    <w:p w14:paraId="69DC2E0C">
      <w:pPr>
        <w:spacing w:before="227" w:line="295" w:lineRule="auto"/>
        <w:ind w:left="32" w:firstLine="420"/>
        <w:rPr>
          <w:rFonts w:ascii="仿宋" w:hAnsi="仿宋" w:eastAsia="仿宋" w:cs="仿宋"/>
          <w:sz w:val="28"/>
          <w:szCs w:val="28"/>
        </w:rPr>
      </w:pPr>
      <w:r>
        <w:rPr>
          <w:rFonts w:ascii="仿宋" w:hAnsi="仿宋" w:eastAsia="仿宋" w:cs="仿宋"/>
          <w:spacing w:val="-4"/>
          <w:sz w:val="28"/>
          <w:szCs w:val="28"/>
        </w:rPr>
        <w:t>（3）如果开始工作的日期是十五日以前（包括十五日）以一个月</w:t>
      </w:r>
      <w:r>
        <w:rPr>
          <w:rFonts w:ascii="仿宋" w:hAnsi="仿宋" w:eastAsia="仿宋" w:cs="仿宋"/>
          <w:spacing w:val="2"/>
          <w:sz w:val="28"/>
          <w:szCs w:val="28"/>
        </w:rPr>
        <w:t xml:space="preserve"> </w:t>
      </w:r>
      <w:r>
        <w:rPr>
          <w:rFonts w:ascii="仿宋" w:hAnsi="仿宋" w:eastAsia="仿宋" w:cs="仿宋"/>
          <w:spacing w:val="-2"/>
          <w:sz w:val="28"/>
          <w:szCs w:val="28"/>
        </w:rPr>
        <w:t>计算工作时间；如果开始工作的时间是十五号以后则以半个月计算。</w:t>
      </w:r>
    </w:p>
    <w:p w14:paraId="07BA72F9">
      <w:pPr>
        <w:spacing w:before="224" w:line="222" w:lineRule="auto"/>
        <w:ind w:left="603"/>
        <w:rPr>
          <w:rFonts w:ascii="仿宋" w:hAnsi="仿宋" w:eastAsia="仿宋" w:cs="仿宋"/>
          <w:sz w:val="28"/>
          <w:szCs w:val="28"/>
        </w:rPr>
      </w:pPr>
      <w:r>
        <w:rPr>
          <w:rFonts w:ascii="仿宋" w:hAnsi="仿宋" w:eastAsia="仿宋" w:cs="仿宋"/>
          <w:b/>
          <w:bCs/>
          <w:spacing w:val="-7"/>
          <w:sz w:val="28"/>
          <w:szCs w:val="28"/>
        </w:rPr>
        <w:t>第一百〇九条</w:t>
      </w:r>
      <w:r>
        <w:rPr>
          <w:rFonts w:ascii="仿宋" w:hAnsi="仿宋" w:eastAsia="仿宋" w:cs="仿宋"/>
          <w:spacing w:val="33"/>
          <w:sz w:val="28"/>
          <w:szCs w:val="28"/>
        </w:rPr>
        <w:t xml:space="preserve"> </w:t>
      </w:r>
      <w:r>
        <w:rPr>
          <w:rFonts w:ascii="仿宋" w:hAnsi="仿宋" w:eastAsia="仿宋" w:cs="仿宋"/>
          <w:b/>
          <w:bCs/>
          <w:spacing w:val="-7"/>
          <w:sz w:val="28"/>
          <w:szCs w:val="28"/>
        </w:rPr>
        <w:t>薪酬方案制定</w:t>
      </w:r>
    </w:p>
    <w:p w14:paraId="2A25E8B0">
      <w:pPr>
        <w:spacing w:before="224" w:line="355" w:lineRule="auto"/>
        <w:ind w:left="50" w:right="55" w:firstLine="553"/>
        <w:rPr>
          <w:rFonts w:ascii="仿宋" w:hAnsi="仿宋" w:eastAsia="仿宋" w:cs="仿宋"/>
          <w:sz w:val="28"/>
          <w:szCs w:val="28"/>
        </w:rPr>
      </w:pPr>
      <w:r>
        <w:rPr>
          <w:rFonts w:ascii="仿宋" w:hAnsi="仿宋" w:eastAsia="仿宋" w:cs="仿宋"/>
          <w:spacing w:val="-4"/>
          <w:sz w:val="28"/>
          <w:szCs w:val="28"/>
        </w:rPr>
        <w:t>1.基金会秘书长薪酬由理事长确定，并在员</w:t>
      </w:r>
      <w:r>
        <w:rPr>
          <w:rFonts w:ascii="仿宋" w:hAnsi="仿宋" w:eastAsia="仿宋" w:cs="仿宋"/>
          <w:spacing w:val="-5"/>
          <w:sz w:val="28"/>
          <w:szCs w:val="28"/>
        </w:rPr>
        <w:t>工劳动合同中一次性</w:t>
      </w:r>
      <w:r>
        <w:rPr>
          <w:rFonts w:ascii="仿宋" w:hAnsi="仿宋" w:eastAsia="仿宋" w:cs="仿宋"/>
          <w:sz w:val="28"/>
          <w:szCs w:val="28"/>
        </w:rPr>
        <w:t xml:space="preserve"> </w:t>
      </w:r>
      <w:r>
        <w:rPr>
          <w:rFonts w:ascii="仿宋" w:hAnsi="仿宋" w:eastAsia="仿宋" w:cs="仿宋"/>
          <w:spacing w:val="-12"/>
          <w:sz w:val="28"/>
          <w:szCs w:val="28"/>
        </w:rPr>
        <w:t>明确。</w:t>
      </w:r>
    </w:p>
    <w:p w14:paraId="600DBDD1">
      <w:pPr>
        <w:spacing w:before="41" w:line="359" w:lineRule="auto"/>
        <w:ind w:left="41" w:right="55" w:firstLine="544"/>
        <w:jc w:val="both"/>
        <w:rPr>
          <w:rFonts w:ascii="仿宋" w:hAnsi="仿宋" w:eastAsia="仿宋" w:cs="仿宋"/>
          <w:sz w:val="28"/>
          <w:szCs w:val="28"/>
        </w:rPr>
      </w:pPr>
      <w:r>
        <w:rPr>
          <w:rFonts w:ascii="仿宋" w:hAnsi="仿宋" w:eastAsia="仿宋" w:cs="仿宋"/>
          <w:spacing w:val="-1"/>
          <w:sz w:val="28"/>
          <w:szCs w:val="28"/>
        </w:rPr>
        <w:t>2.基金会员工（不含秘书长）的薪酬，</w:t>
      </w:r>
      <w:r>
        <w:rPr>
          <w:rFonts w:ascii="仿宋" w:hAnsi="仿宋" w:eastAsia="仿宋" w:cs="仿宋"/>
          <w:spacing w:val="61"/>
          <w:sz w:val="28"/>
          <w:szCs w:val="28"/>
        </w:rPr>
        <w:t xml:space="preserve"> </w:t>
      </w:r>
      <w:r>
        <w:rPr>
          <w:rFonts w:ascii="仿宋" w:hAnsi="仿宋" w:eastAsia="仿宋" w:cs="仿宋"/>
          <w:spacing w:val="-1"/>
          <w:sz w:val="28"/>
          <w:szCs w:val="28"/>
        </w:rPr>
        <w:t>由秘书长根据相关法律</w:t>
      </w:r>
      <w:r>
        <w:rPr>
          <w:rFonts w:ascii="仿宋" w:hAnsi="仿宋" w:eastAsia="仿宋" w:cs="仿宋"/>
          <w:sz w:val="28"/>
          <w:szCs w:val="28"/>
        </w:rPr>
        <w:t xml:space="preserve"> </w:t>
      </w:r>
      <w:r>
        <w:rPr>
          <w:rFonts w:ascii="仿宋" w:hAnsi="仿宋" w:eastAsia="仿宋" w:cs="仿宋"/>
          <w:spacing w:val="-4"/>
          <w:sz w:val="28"/>
          <w:szCs w:val="28"/>
        </w:rPr>
        <w:t>法规，参照同行业同类组织劳动力薪酬水平，制定具备市场竞争</w:t>
      </w:r>
      <w:r>
        <w:rPr>
          <w:rFonts w:ascii="仿宋" w:hAnsi="仿宋" w:eastAsia="仿宋" w:cs="仿宋"/>
          <w:spacing w:val="-5"/>
          <w:sz w:val="28"/>
          <w:szCs w:val="28"/>
        </w:rPr>
        <w:t>力的</w:t>
      </w:r>
      <w:r>
        <w:rPr>
          <w:rFonts w:ascii="仿宋" w:hAnsi="仿宋" w:eastAsia="仿宋" w:cs="仿宋"/>
          <w:sz w:val="28"/>
          <w:szCs w:val="28"/>
        </w:rPr>
        <w:t xml:space="preserve"> </w:t>
      </w:r>
      <w:r>
        <w:rPr>
          <w:rFonts w:ascii="仿宋" w:hAnsi="仿宋" w:eastAsia="仿宋" w:cs="仿宋"/>
          <w:spacing w:val="-2"/>
          <w:sz w:val="28"/>
          <w:szCs w:val="28"/>
        </w:rPr>
        <w:t>薪酬方案，报理事会审批通过后执行。</w:t>
      </w:r>
    </w:p>
    <w:p w14:paraId="72322443">
      <w:pPr>
        <w:spacing w:line="359" w:lineRule="auto"/>
        <w:rPr>
          <w:rFonts w:ascii="仿宋" w:hAnsi="仿宋" w:eastAsia="仿宋" w:cs="仿宋"/>
          <w:sz w:val="28"/>
          <w:szCs w:val="28"/>
        </w:rPr>
        <w:sectPr>
          <w:pgSz w:w="11906" w:h="16839"/>
          <w:pgMar w:top="400" w:right="1743" w:bottom="400" w:left="1785" w:header="0" w:footer="850" w:gutter="0"/>
          <w:pgNumType w:fmt="decimal"/>
          <w:cols w:space="720" w:num="1"/>
        </w:sectPr>
      </w:pPr>
    </w:p>
    <w:p w14:paraId="35C5989D">
      <w:pPr>
        <w:spacing w:line="287" w:lineRule="auto"/>
        <w:rPr>
          <w:rFonts w:ascii="Arial"/>
          <w:sz w:val="21"/>
        </w:rPr>
      </w:pPr>
    </w:p>
    <w:p w14:paraId="36744799">
      <w:pPr>
        <w:spacing w:line="287" w:lineRule="auto"/>
        <w:rPr>
          <w:rFonts w:ascii="Arial"/>
          <w:sz w:val="21"/>
        </w:rPr>
      </w:pPr>
    </w:p>
    <w:p w14:paraId="5DB4B99B">
      <w:pPr>
        <w:spacing w:line="288" w:lineRule="auto"/>
        <w:rPr>
          <w:rFonts w:ascii="Arial"/>
          <w:sz w:val="21"/>
        </w:rPr>
      </w:pPr>
    </w:p>
    <w:p w14:paraId="2858EC60">
      <w:pPr>
        <w:spacing w:line="288" w:lineRule="auto"/>
        <w:rPr>
          <w:rFonts w:ascii="Arial"/>
          <w:sz w:val="21"/>
        </w:rPr>
      </w:pPr>
    </w:p>
    <w:p w14:paraId="4520D720">
      <w:pPr>
        <w:pStyle w:val="2"/>
        <w:spacing w:before="91" w:line="222" w:lineRule="auto"/>
        <w:ind w:left="2633"/>
        <w:rPr>
          <w:rFonts w:ascii="黑体" w:hAnsi="黑体" w:eastAsia="黑体" w:cs="黑体"/>
        </w:rPr>
      </w:pPr>
      <w:r>
        <w:rPr>
          <w:spacing w:val="-2"/>
        </w:rPr>
        <w:t xml:space="preserve">第三十九章  </w:t>
      </w:r>
      <w:r>
        <w:rPr>
          <w:rFonts w:ascii="黑体" w:hAnsi="黑体" w:eastAsia="黑体" w:cs="黑体"/>
          <w:b/>
          <w:bCs/>
          <w:spacing w:val="-2"/>
        </w:rPr>
        <w:t>加班和换休</w:t>
      </w:r>
    </w:p>
    <w:p w14:paraId="6A8E15D6">
      <w:pPr>
        <w:spacing w:before="222" w:line="353" w:lineRule="auto"/>
        <w:ind w:left="36" w:right="53" w:firstLine="567"/>
        <w:rPr>
          <w:rFonts w:ascii="仿宋" w:hAnsi="仿宋" w:eastAsia="仿宋" w:cs="仿宋"/>
          <w:sz w:val="28"/>
          <w:szCs w:val="28"/>
        </w:rPr>
      </w:pPr>
      <w:r>
        <w:rPr>
          <w:rFonts w:ascii="仿宋" w:hAnsi="仿宋" w:eastAsia="仿宋" w:cs="仿宋"/>
          <w:b/>
          <w:bCs/>
          <w:spacing w:val="-2"/>
          <w:sz w:val="28"/>
          <w:szCs w:val="28"/>
        </w:rPr>
        <w:t>第一百一十条</w:t>
      </w:r>
      <w:r>
        <w:rPr>
          <w:rFonts w:ascii="仿宋" w:hAnsi="仿宋" w:eastAsia="仿宋" w:cs="仿宋"/>
          <w:spacing w:val="54"/>
          <w:sz w:val="28"/>
          <w:szCs w:val="28"/>
        </w:rPr>
        <w:t xml:space="preserve"> </w:t>
      </w:r>
      <w:r>
        <w:rPr>
          <w:rFonts w:ascii="仿宋" w:hAnsi="仿宋" w:eastAsia="仿宋" w:cs="仿宋"/>
          <w:spacing w:val="-2"/>
          <w:sz w:val="28"/>
          <w:szCs w:val="28"/>
        </w:rPr>
        <w:t>员工加班前需在考勤系统上进行申请，通过主管</w:t>
      </w:r>
      <w:r>
        <w:rPr>
          <w:rFonts w:ascii="仿宋" w:hAnsi="仿宋" w:eastAsia="仿宋" w:cs="仿宋"/>
          <w:sz w:val="28"/>
          <w:szCs w:val="28"/>
        </w:rPr>
        <w:t xml:space="preserve"> </w:t>
      </w:r>
      <w:r>
        <w:rPr>
          <w:rFonts w:ascii="仿宋" w:hAnsi="仿宋" w:eastAsia="仿宋" w:cs="仿宋"/>
          <w:spacing w:val="-3"/>
          <w:sz w:val="28"/>
          <w:szCs w:val="28"/>
        </w:rPr>
        <w:t>许可后抄送行政官员。</w:t>
      </w:r>
    </w:p>
    <w:p w14:paraId="3888DC69">
      <w:pPr>
        <w:spacing w:before="47" w:line="358" w:lineRule="auto"/>
        <w:ind w:left="34" w:right="55" w:firstLine="569"/>
        <w:jc w:val="both"/>
        <w:rPr>
          <w:rFonts w:ascii="仿宋" w:hAnsi="仿宋" w:eastAsia="仿宋" w:cs="仿宋"/>
          <w:sz w:val="28"/>
          <w:szCs w:val="28"/>
        </w:rPr>
      </w:pPr>
      <w:r>
        <w:rPr>
          <w:rFonts w:ascii="仿宋" w:hAnsi="仿宋" w:eastAsia="仿宋" w:cs="仿宋"/>
          <w:b/>
          <w:bCs/>
          <w:spacing w:val="-7"/>
          <w:sz w:val="28"/>
          <w:szCs w:val="28"/>
        </w:rPr>
        <w:t>第一百一十一条</w:t>
      </w:r>
      <w:r>
        <w:rPr>
          <w:rFonts w:ascii="仿宋" w:hAnsi="仿宋" w:eastAsia="仿宋" w:cs="仿宋"/>
          <w:spacing w:val="51"/>
          <w:sz w:val="28"/>
          <w:szCs w:val="28"/>
        </w:rPr>
        <w:t xml:space="preserve"> </w:t>
      </w:r>
      <w:r>
        <w:rPr>
          <w:rFonts w:ascii="仿宋" w:hAnsi="仿宋" w:eastAsia="仿宋" w:cs="仿宋"/>
          <w:spacing w:val="-7"/>
          <w:sz w:val="28"/>
          <w:szCs w:val="28"/>
        </w:rPr>
        <w:t>员工加班后，可以换休相同的工作小时/日；换</w:t>
      </w:r>
      <w:r>
        <w:rPr>
          <w:rFonts w:ascii="仿宋" w:hAnsi="仿宋" w:eastAsia="仿宋" w:cs="仿宋"/>
          <w:sz w:val="28"/>
          <w:szCs w:val="28"/>
        </w:rPr>
        <w:t xml:space="preserve"> </w:t>
      </w:r>
      <w:r>
        <w:rPr>
          <w:rFonts w:ascii="仿宋" w:hAnsi="仿宋" w:eastAsia="仿宋" w:cs="仿宋"/>
          <w:spacing w:val="-4"/>
          <w:sz w:val="28"/>
          <w:szCs w:val="28"/>
        </w:rPr>
        <w:t>休可以累积，但需在当月后三个月内休完；换休时应在考勤系统上进</w:t>
      </w:r>
      <w:r>
        <w:rPr>
          <w:rFonts w:ascii="仿宋" w:hAnsi="仿宋" w:eastAsia="仿宋" w:cs="仿宋"/>
          <w:spacing w:val="4"/>
          <w:sz w:val="28"/>
          <w:szCs w:val="28"/>
        </w:rPr>
        <w:t xml:space="preserve"> </w:t>
      </w:r>
      <w:r>
        <w:rPr>
          <w:rFonts w:ascii="仿宋" w:hAnsi="仿宋" w:eastAsia="仿宋" w:cs="仿宋"/>
          <w:spacing w:val="-1"/>
          <w:sz w:val="28"/>
          <w:szCs w:val="28"/>
        </w:rPr>
        <w:t>行申请，通过主管许可后抄送行政官员批准并存档。</w:t>
      </w:r>
    </w:p>
    <w:p w14:paraId="7322FB25">
      <w:pPr>
        <w:pStyle w:val="2"/>
        <w:spacing w:before="53" w:line="222" w:lineRule="auto"/>
        <w:ind w:left="3267"/>
        <w:rPr>
          <w:rFonts w:ascii="黑体" w:hAnsi="黑体" w:eastAsia="黑体" w:cs="黑体"/>
        </w:rPr>
      </w:pPr>
      <w:r>
        <w:rPr>
          <w:spacing w:val="-3"/>
        </w:rPr>
        <w:t xml:space="preserve">第四十章 </w:t>
      </w:r>
      <w:r>
        <w:rPr>
          <w:rFonts w:ascii="黑体" w:hAnsi="黑体" w:eastAsia="黑体" w:cs="黑体"/>
          <w:b/>
          <w:bCs/>
          <w:spacing w:val="-3"/>
        </w:rPr>
        <w:t>休假</w:t>
      </w:r>
    </w:p>
    <w:p w14:paraId="27D2C335">
      <w:pPr>
        <w:spacing w:before="223" w:line="352" w:lineRule="auto"/>
        <w:ind w:left="43" w:right="55" w:firstLine="560"/>
        <w:rPr>
          <w:rFonts w:ascii="仿宋" w:hAnsi="仿宋" w:eastAsia="仿宋" w:cs="仿宋"/>
          <w:sz w:val="28"/>
          <w:szCs w:val="28"/>
        </w:rPr>
      </w:pPr>
      <w:r>
        <w:rPr>
          <w:rFonts w:ascii="仿宋" w:hAnsi="仿宋" w:eastAsia="仿宋" w:cs="仿宋"/>
          <w:b/>
          <w:bCs/>
          <w:spacing w:val="-2"/>
          <w:sz w:val="28"/>
          <w:szCs w:val="28"/>
        </w:rPr>
        <w:t>第一百一十二条</w:t>
      </w:r>
      <w:r>
        <w:rPr>
          <w:rFonts w:ascii="仿宋" w:hAnsi="仿宋" w:eastAsia="仿宋" w:cs="仿宋"/>
          <w:spacing w:val="49"/>
          <w:sz w:val="28"/>
          <w:szCs w:val="28"/>
        </w:rPr>
        <w:t xml:space="preserve"> </w:t>
      </w:r>
      <w:r>
        <w:rPr>
          <w:rFonts w:ascii="仿宋" w:hAnsi="仿宋" w:eastAsia="仿宋" w:cs="仿宋"/>
          <w:spacing w:val="-2"/>
          <w:sz w:val="28"/>
          <w:szCs w:val="28"/>
        </w:rPr>
        <w:t>员工休假需经主管同意、由秘书长批准；员工</w:t>
      </w:r>
      <w:r>
        <w:rPr>
          <w:rFonts w:ascii="仿宋" w:hAnsi="仿宋" w:eastAsia="仿宋" w:cs="仿宋"/>
          <w:sz w:val="28"/>
          <w:szCs w:val="28"/>
        </w:rPr>
        <w:t xml:space="preserve"> </w:t>
      </w:r>
      <w:r>
        <w:rPr>
          <w:rFonts w:ascii="仿宋" w:hAnsi="仿宋" w:eastAsia="仿宋" w:cs="仿宋"/>
          <w:spacing w:val="-1"/>
          <w:sz w:val="28"/>
          <w:szCs w:val="28"/>
        </w:rPr>
        <w:t>需在考勤系统上进行申请，通过主管许可后抄送行</w:t>
      </w:r>
      <w:r>
        <w:rPr>
          <w:rFonts w:ascii="仿宋" w:hAnsi="仿宋" w:eastAsia="仿宋" w:cs="仿宋"/>
          <w:spacing w:val="-2"/>
          <w:sz w:val="28"/>
          <w:szCs w:val="28"/>
        </w:rPr>
        <w:t>政官员。</w:t>
      </w:r>
    </w:p>
    <w:p w14:paraId="39BA4D9D">
      <w:pPr>
        <w:spacing w:before="50" w:line="222" w:lineRule="auto"/>
        <w:ind w:left="603"/>
        <w:rPr>
          <w:rFonts w:ascii="仿宋" w:hAnsi="仿宋" w:eastAsia="仿宋" w:cs="仿宋"/>
          <w:sz w:val="28"/>
          <w:szCs w:val="28"/>
        </w:rPr>
      </w:pPr>
      <w:r>
        <w:rPr>
          <w:rFonts w:ascii="仿宋" w:hAnsi="仿宋" w:eastAsia="仿宋" w:cs="仿宋"/>
          <w:b/>
          <w:bCs/>
          <w:spacing w:val="-8"/>
          <w:sz w:val="28"/>
          <w:szCs w:val="28"/>
        </w:rPr>
        <w:t>第一百一十三条</w:t>
      </w:r>
      <w:r>
        <w:rPr>
          <w:rFonts w:ascii="仿宋" w:hAnsi="仿宋" w:eastAsia="仿宋" w:cs="仿宋"/>
          <w:spacing w:val="25"/>
          <w:sz w:val="28"/>
          <w:szCs w:val="28"/>
        </w:rPr>
        <w:t xml:space="preserve"> </w:t>
      </w:r>
      <w:r>
        <w:rPr>
          <w:rFonts w:ascii="仿宋" w:hAnsi="仿宋" w:eastAsia="仿宋" w:cs="仿宋"/>
          <w:b/>
          <w:bCs/>
          <w:spacing w:val="-8"/>
          <w:sz w:val="28"/>
          <w:szCs w:val="28"/>
        </w:rPr>
        <w:t>年假</w:t>
      </w:r>
    </w:p>
    <w:p w14:paraId="2FDDB761">
      <w:pPr>
        <w:spacing w:before="224" w:line="363" w:lineRule="auto"/>
        <w:ind w:left="33" w:right="53" w:firstLine="570"/>
        <w:jc w:val="both"/>
        <w:rPr>
          <w:rFonts w:ascii="仿宋" w:hAnsi="仿宋" w:eastAsia="仿宋" w:cs="仿宋"/>
          <w:sz w:val="28"/>
          <w:szCs w:val="28"/>
        </w:rPr>
      </w:pPr>
      <w:r>
        <w:rPr>
          <w:rFonts w:ascii="仿宋" w:hAnsi="仿宋" w:eastAsia="仿宋" w:cs="仿宋"/>
          <w:spacing w:val="4"/>
          <w:sz w:val="28"/>
          <w:szCs w:val="28"/>
        </w:rPr>
        <w:t>1.所有工龄满十二个月以上的全职员工都有权享受每</w:t>
      </w:r>
      <w:r>
        <w:rPr>
          <w:rFonts w:ascii="仿宋" w:hAnsi="仿宋" w:eastAsia="仿宋" w:cs="仿宋"/>
          <w:spacing w:val="3"/>
          <w:sz w:val="28"/>
          <w:szCs w:val="28"/>
        </w:rPr>
        <w:t>年</w:t>
      </w:r>
      <w:r>
        <w:rPr>
          <w:rFonts w:ascii="仿宋" w:hAnsi="仿宋" w:eastAsia="仿宋" w:cs="仿宋"/>
          <w:spacing w:val="-48"/>
          <w:sz w:val="28"/>
          <w:szCs w:val="28"/>
        </w:rPr>
        <w:t xml:space="preserve"> </w:t>
      </w:r>
      <w:r>
        <w:rPr>
          <w:rFonts w:ascii="仿宋" w:hAnsi="仿宋" w:eastAsia="仿宋" w:cs="仿宋"/>
          <w:spacing w:val="3"/>
          <w:sz w:val="28"/>
          <w:szCs w:val="28"/>
        </w:rPr>
        <w:t>5</w:t>
      </w:r>
      <w:r>
        <w:rPr>
          <w:rFonts w:ascii="仿宋" w:hAnsi="仿宋" w:eastAsia="仿宋" w:cs="仿宋"/>
          <w:spacing w:val="-42"/>
          <w:sz w:val="28"/>
          <w:szCs w:val="28"/>
        </w:rPr>
        <w:t xml:space="preserve"> </w:t>
      </w:r>
      <w:r>
        <w:rPr>
          <w:rFonts w:ascii="仿宋" w:hAnsi="仿宋" w:eastAsia="仿宋" w:cs="仿宋"/>
          <w:spacing w:val="3"/>
          <w:sz w:val="28"/>
          <w:szCs w:val="28"/>
        </w:rPr>
        <w:t>个工</w:t>
      </w:r>
      <w:r>
        <w:rPr>
          <w:rFonts w:ascii="仿宋" w:hAnsi="仿宋" w:eastAsia="仿宋" w:cs="仿宋"/>
          <w:sz w:val="28"/>
          <w:szCs w:val="28"/>
        </w:rPr>
        <w:t xml:space="preserve"> </w:t>
      </w:r>
      <w:r>
        <w:rPr>
          <w:rFonts w:ascii="仿宋" w:hAnsi="仿宋" w:eastAsia="仿宋" w:cs="仿宋"/>
          <w:spacing w:val="-7"/>
          <w:sz w:val="28"/>
          <w:szCs w:val="28"/>
        </w:rPr>
        <w:t>作日的带薪假期。如员工累计工龄已满</w:t>
      </w:r>
      <w:r>
        <w:rPr>
          <w:rFonts w:ascii="仿宋" w:hAnsi="仿宋" w:eastAsia="仿宋" w:cs="仿宋"/>
          <w:spacing w:val="-25"/>
          <w:sz w:val="28"/>
          <w:szCs w:val="28"/>
        </w:rPr>
        <w:t xml:space="preserve"> </w:t>
      </w:r>
      <w:r>
        <w:rPr>
          <w:rFonts w:ascii="仿宋" w:hAnsi="仿宋" w:eastAsia="仿宋" w:cs="仿宋"/>
          <w:spacing w:val="-7"/>
          <w:sz w:val="28"/>
          <w:szCs w:val="28"/>
        </w:rPr>
        <w:t>10</w:t>
      </w:r>
      <w:r>
        <w:rPr>
          <w:rFonts w:ascii="仿宋" w:hAnsi="仿宋" w:eastAsia="仿宋" w:cs="仿宋"/>
          <w:spacing w:val="-48"/>
          <w:sz w:val="28"/>
          <w:szCs w:val="28"/>
        </w:rPr>
        <w:t xml:space="preserve"> </w:t>
      </w:r>
      <w:r>
        <w:rPr>
          <w:rFonts w:ascii="仿宋" w:hAnsi="仿宋" w:eastAsia="仿宋" w:cs="仿宋"/>
          <w:spacing w:val="-7"/>
          <w:sz w:val="28"/>
          <w:szCs w:val="28"/>
        </w:rPr>
        <w:t>年不满</w:t>
      </w:r>
      <w:r>
        <w:rPr>
          <w:rFonts w:ascii="仿宋" w:hAnsi="仿宋" w:eastAsia="仿宋" w:cs="仿宋"/>
          <w:spacing w:val="-57"/>
          <w:sz w:val="28"/>
          <w:szCs w:val="28"/>
        </w:rPr>
        <w:t xml:space="preserve"> </w:t>
      </w:r>
      <w:r>
        <w:rPr>
          <w:rFonts w:ascii="仿宋" w:hAnsi="仿宋" w:eastAsia="仿宋" w:cs="仿宋"/>
          <w:spacing w:val="-7"/>
          <w:sz w:val="28"/>
          <w:szCs w:val="28"/>
        </w:rPr>
        <w:t>20</w:t>
      </w:r>
      <w:r>
        <w:rPr>
          <w:rFonts w:ascii="仿宋" w:hAnsi="仿宋" w:eastAsia="仿宋" w:cs="仿宋"/>
          <w:spacing w:val="-48"/>
          <w:sz w:val="28"/>
          <w:szCs w:val="28"/>
        </w:rPr>
        <w:t xml:space="preserve"> </w:t>
      </w:r>
      <w:r>
        <w:rPr>
          <w:rFonts w:ascii="仿宋" w:hAnsi="仿宋" w:eastAsia="仿宋" w:cs="仿宋"/>
          <w:spacing w:val="-7"/>
          <w:sz w:val="28"/>
          <w:szCs w:val="28"/>
        </w:rPr>
        <w:t>年的，年休假按</w:t>
      </w:r>
      <w:r>
        <w:rPr>
          <w:rFonts w:ascii="仿宋" w:hAnsi="仿宋" w:eastAsia="仿宋" w:cs="仿宋"/>
          <w:sz w:val="28"/>
          <w:szCs w:val="28"/>
        </w:rPr>
        <w:t xml:space="preserve"> </w:t>
      </w:r>
      <w:r>
        <w:rPr>
          <w:rFonts w:ascii="仿宋" w:hAnsi="仿宋" w:eastAsia="仿宋" w:cs="仿宋"/>
          <w:spacing w:val="-2"/>
          <w:sz w:val="28"/>
          <w:szCs w:val="28"/>
        </w:rPr>
        <w:t>10 个工作日计算；员工累计工龄已满</w:t>
      </w:r>
      <w:r>
        <w:rPr>
          <w:rFonts w:ascii="仿宋" w:hAnsi="仿宋" w:eastAsia="仿宋" w:cs="仿宋"/>
          <w:spacing w:val="-55"/>
          <w:sz w:val="28"/>
          <w:szCs w:val="28"/>
        </w:rPr>
        <w:t xml:space="preserve"> </w:t>
      </w:r>
      <w:r>
        <w:rPr>
          <w:rFonts w:ascii="仿宋" w:hAnsi="仿宋" w:eastAsia="仿宋" w:cs="仿宋"/>
          <w:spacing w:val="-2"/>
          <w:sz w:val="28"/>
          <w:szCs w:val="28"/>
        </w:rPr>
        <w:t>20</w:t>
      </w:r>
      <w:r>
        <w:rPr>
          <w:rFonts w:ascii="仿宋" w:hAnsi="仿宋" w:eastAsia="仿宋" w:cs="仿宋"/>
          <w:spacing w:val="-46"/>
          <w:sz w:val="28"/>
          <w:szCs w:val="28"/>
        </w:rPr>
        <w:t xml:space="preserve"> </w:t>
      </w:r>
      <w:r>
        <w:rPr>
          <w:rFonts w:ascii="仿宋" w:hAnsi="仿宋" w:eastAsia="仿宋" w:cs="仿宋"/>
          <w:spacing w:val="-2"/>
          <w:sz w:val="28"/>
          <w:szCs w:val="28"/>
        </w:rPr>
        <w:t>年的，年休假按</w:t>
      </w:r>
      <w:r>
        <w:rPr>
          <w:rFonts w:ascii="仿宋" w:hAnsi="仿宋" w:eastAsia="仿宋" w:cs="仿宋"/>
          <w:spacing w:val="-40"/>
          <w:sz w:val="28"/>
          <w:szCs w:val="28"/>
        </w:rPr>
        <w:t xml:space="preserve"> </w:t>
      </w:r>
      <w:r>
        <w:rPr>
          <w:rFonts w:ascii="仿宋" w:hAnsi="仿宋" w:eastAsia="仿宋" w:cs="仿宋"/>
          <w:spacing w:val="-2"/>
          <w:sz w:val="28"/>
          <w:szCs w:val="28"/>
        </w:rPr>
        <w:t>15</w:t>
      </w:r>
      <w:r>
        <w:rPr>
          <w:rFonts w:ascii="仿宋" w:hAnsi="仿宋" w:eastAsia="仿宋" w:cs="仿宋"/>
          <w:spacing w:val="-47"/>
          <w:sz w:val="28"/>
          <w:szCs w:val="28"/>
        </w:rPr>
        <w:t xml:space="preserve"> </w:t>
      </w:r>
      <w:r>
        <w:rPr>
          <w:rFonts w:ascii="仿宋" w:hAnsi="仿宋" w:eastAsia="仿宋" w:cs="仿宋"/>
          <w:spacing w:val="-2"/>
          <w:sz w:val="28"/>
          <w:szCs w:val="28"/>
        </w:rPr>
        <w:t>个工作</w:t>
      </w:r>
      <w:r>
        <w:rPr>
          <w:rFonts w:ascii="仿宋" w:hAnsi="仿宋" w:eastAsia="仿宋" w:cs="仿宋"/>
          <w:sz w:val="28"/>
          <w:szCs w:val="28"/>
        </w:rPr>
        <w:t xml:space="preserve"> </w:t>
      </w:r>
      <w:r>
        <w:rPr>
          <w:rFonts w:ascii="仿宋" w:hAnsi="仿宋" w:eastAsia="仿宋" w:cs="仿宋"/>
          <w:spacing w:val="-4"/>
          <w:sz w:val="28"/>
          <w:szCs w:val="28"/>
        </w:rPr>
        <w:t>日计算。计算标准按员工到岗天数核算当年的年假时间并四舍五入精</w:t>
      </w:r>
      <w:r>
        <w:rPr>
          <w:rFonts w:ascii="仿宋" w:hAnsi="仿宋" w:eastAsia="仿宋" w:cs="仿宋"/>
          <w:spacing w:val="5"/>
          <w:sz w:val="28"/>
          <w:szCs w:val="28"/>
        </w:rPr>
        <w:t xml:space="preserve"> </w:t>
      </w:r>
      <w:r>
        <w:rPr>
          <w:rFonts w:ascii="仿宋" w:hAnsi="仿宋" w:eastAsia="仿宋" w:cs="仿宋"/>
          <w:spacing w:val="-3"/>
          <w:sz w:val="28"/>
          <w:szCs w:val="28"/>
        </w:rPr>
        <w:t>确核算到半天。</w:t>
      </w:r>
    </w:p>
    <w:p w14:paraId="38E741FC">
      <w:pPr>
        <w:spacing w:before="48" w:line="353" w:lineRule="auto"/>
        <w:ind w:left="588" w:right="417" w:hanging="2"/>
        <w:rPr>
          <w:rFonts w:ascii="仿宋" w:hAnsi="仿宋" w:eastAsia="仿宋" w:cs="仿宋"/>
          <w:sz w:val="28"/>
          <w:szCs w:val="28"/>
        </w:rPr>
      </w:pPr>
      <w:r>
        <w:rPr>
          <w:rFonts w:ascii="仿宋" w:hAnsi="仿宋" w:eastAsia="仿宋" w:cs="仿宋"/>
          <w:spacing w:val="-11"/>
          <w:sz w:val="28"/>
          <w:szCs w:val="28"/>
        </w:rPr>
        <w:t>2.带薪年假的连续计算时间从</w:t>
      </w:r>
      <w:r>
        <w:rPr>
          <w:rFonts w:ascii="仿宋" w:hAnsi="仿宋" w:eastAsia="仿宋" w:cs="仿宋"/>
          <w:spacing w:val="-49"/>
          <w:sz w:val="28"/>
          <w:szCs w:val="28"/>
        </w:rPr>
        <w:t xml:space="preserve"> </w:t>
      </w:r>
      <w:r>
        <w:rPr>
          <w:rFonts w:ascii="仿宋" w:hAnsi="仿宋" w:eastAsia="仿宋" w:cs="仿宋"/>
          <w:spacing w:val="-11"/>
          <w:sz w:val="28"/>
          <w:szCs w:val="28"/>
        </w:rPr>
        <w:t>4</w:t>
      </w:r>
      <w:r>
        <w:rPr>
          <w:rFonts w:ascii="仿宋" w:hAnsi="仿宋" w:eastAsia="仿宋" w:cs="仿宋"/>
          <w:spacing w:val="-38"/>
          <w:sz w:val="28"/>
          <w:szCs w:val="28"/>
        </w:rPr>
        <w:t xml:space="preserve"> </w:t>
      </w:r>
      <w:r>
        <w:rPr>
          <w:rFonts w:ascii="仿宋" w:hAnsi="仿宋" w:eastAsia="仿宋" w:cs="仿宋"/>
          <w:spacing w:val="-11"/>
          <w:sz w:val="28"/>
          <w:szCs w:val="28"/>
        </w:rPr>
        <w:t>月</w:t>
      </w:r>
      <w:r>
        <w:rPr>
          <w:rFonts w:ascii="仿宋" w:hAnsi="仿宋" w:eastAsia="仿宋" w:cs="仿宋"/>
          <w:spacing w:val="-42"/>
          <w:sz w:val="28"/>
          <w:szCs w:val="28"/>
        </w:rPr>
        <w:t xml:space="preserve"> </w:t>
      </w:r>
      <w:r>
        <w:rPr>
          <w:rFonts w:ascii="仿宋" w:hAnsi="仿宋" w:eastAsia="仿宋" w:cs="仿宋"/>
          <w:spacing w:val="-11"/>
          <w:sz w:val="28"/>
          <w:szCs w:val="28"/>
        </w:rPr>
        <w:t>1 日到次年的</w:t>
      </w:r>
      <w:r>
        <w:rPr>
          <w:rFonts w:ascii="仿宋" w:hAnsi="仿宋" w:eastAsia="仿宋" w:cs="仿宋"/>
          <w:spacing w:val="-57"/>
          <w:sz w:val="28"/>
          <w:szCs w:val="28"/>
        </w:rPr>
        <w:t xml:space="preserve"> </w:t>
      </w:r>
      <w:r>
        <w:rPr>
          <w:rFonts w:ascii="仿宋" w:hAnsi="仿宋" w:eastAsia="仿宋" w:cs="仿宋"/>
          <w:spacing w:val="-11"/>
          <w:sz w:val="28"/>
          <w:szCs w:val="28"/>
        </w:rPr>
        <w:t>3</w:t>
      </w:r>
      <w:r>
        <w:rPr>
          <w:rFonts w:ascii="仿宋" w:hAnsi="仿宋" w:eastAsia="仿宋" w:cs="仿宋"/>
          <w:spacing w:val="-38"/>
          <w:sz w:val="28"/>
          <w:szCs w:val="28"/>
        </w:rPr>
        <w:t xml:space="preserve"> </w:t>
      </w:r>
      <w:r>
        <w:rPr>
          <w:rFonts w:ascii="仿宋" w:hAnsi="仿宋" w:eastAsia="仿宋" w:cs="仿宋"/>
          <w:spacing w:val="-11"/>
          <w:sz w:val="28"/>
          <w:szCs w:val="28"/>
        </w:rPr>
        <w:t>月</w:t>
      </w:r>
      <w:r>
        <w:rPr>
          <w:rFonts w:ascii="仿宋" w:hAnsi="仿宋" w:eastAsia="仿宋" w:cs="仿宋"/>
          <w:spacing w:val="-55"/>
          <w:sz w:val="28"/>
          <w:szCs w:val="28"/>
        </w:rPr>
        <w:t xml:space="preserve"> </w:t>
      </w:r>
      <w:r>
        <w:rPr>
          <w:rFonts w:ascii="仿宋" w:hAnsi="仿宋" w:eastAsia="仿宋" w:cs="仿宋"/>
          <w:spacing w:val="-11"/>
          <w:sz w:val="28"/>
          <w:szCs w:val="28"/>
        </w:rPr>
        <w:t>31 日。</w:t>
      </w:r>
      <w:r>
        <w:rPr>
          <w:rFonts w:ascii="仿宋" w:hAnsi="仿宋" w:eastAsia="仿宋" w:cs="仿宋"/>
          <w:sz w:val="28"/>
          <w:szCs w:val="28"/>
        </w:rPr>
        <w:t xml:space="preserve"> </w:t>
      </w:r>
      <w:r>
        <w:rPr>
          <w:rFonts w:ascii="仿宋" w:hAnsi="仿宋" w:eastAsia="仿宋" w:cs="仿宋"/>
          <w:spacing w:val="-1"/>
          <w:sz w:val="28"/>
          <w:szCs w:val="28"/>
        </w:rPr>
        <w:t>3.员工有下列情形之一的，不享受当年的法定年假：</w:t>
      </w:r>
    </w:p>
    <w:p w14:paraId="1EAA8C97">
      <w:pPr>
        <w:spacing w:before="48" w:line="359" w:lineRule="auto"/>
        <w:ind w:left="453"/>
        <w:jc w:val="right"/>
        <w:rPr>
          <w:rFonts w:ascii="仿宋" w:hAnsi="仿宋" w:eastAsia="仿宋" w:cs="仿宋"/>
          <w:sz w:val="28"/>
          <w:szCs w:val="28"/>
        </w:rPr>
      </w:pPr>
      <w:r>
        <w:rPr>
          <w:rFonts w:ascii="仿宋" w:hAnsi="仿宋" w:eastAsia="仿宋" w:cs="仿宋"/>
          <w:spacing w:val="-2"/>
          <w:sz w:val="28"/>
          <w:szCs w:val="28"/>
        </w:rPr>
        <w:t>（1）累计工作满一年不满十年的员工，请病假累计二个月以上；</w:t>
      </w:r>
      <w:r>
        <w:rPr>
          <w:rFonts w:ascii="仿宋" w:hAnsi="仿宋" w:eastAsia="仿宋" w:cs="仿宋"/>
          <w:sz w:val="28"/>
          <w:szCs w:val="28"/>
        </w:rPr>
        <w:t xml:space="preserve"> </w:t>
      </w:r>
      <w:r>
        <w:rPr>
          <w:rFonts w:ascii="仿宋" w:hAnsi="仿宋" w:eastAsia="仿宋" w:cs="仿宋"/>
          <w:spacing w:val="-2"/>
          <w:sz w:val="28"/>
          <w:szCs w:val="28"/>
        </w:rPr>
        <w:t>（2）工作满十年不满二十年的员工，请病假累计三个月以上的；</w:t>
      </w:r>
      <w:r>
        <w:rPr>
          <w:rFonts w:ascii="仿宋" w:hAnsi="仿宋" w:eastAsia="仿宋" w:cs="仿宋"/>
          <w:sz w:val="28"/>
          <w:szCs w:val="28"/>
        </w:rPr>
        <w:t xml:space="preserve"> </w:t>
      </w:r>
      <w:r>
        <w:rPr>
          <w:rFonts w:ascii="仿宋" w:hAnsi="仿宋" w:eastAsia="仿宋" w:cs="仿宋"/>
          <w:spacing w:val="-2"/>
          <w:sz w:val="28"/>
          <w:szCs w:val="28"/>
        </w:rPr>
        <w:t>（3）累计工作满二十年以上的员工，请病假累计四个月以上的。</w:t>
      </w:r>
    </w:p>
    <w:p w14:paraId="46ED0999">
      <w:pPr>
        <w:spacing w:before="48" w:line="361" w:lineRule="auto"/>
        <w:ind w:left="29" w:right="55" w:firstLine="559"/>
        <w:jc w:val="right"/>
        <w:rPr>
          <w:rFonts w:ascii="仿宋" w:hAnsi="仿宋" w:eastAsia="仿宋" w:cs="仿宋"/>
          <w:sz w:val="28"/>
          <w:szCs w:val="28"/>
        </w:rPr>
      </w:pPr>
      <w:r>
        <w:rPr>
          <w:rFonts w:ascii="仿宋" w:hAnsi="仿宋" w:eastAsia="仿宋" w:cs="仿宋"/>
          <w:spacing w:val="-4"/>
          <w:sz w:val="28"/>
          <w:szCs w:val="28"/>
        </w:rPr>
        <w:t>3.员工可以申请休法定年假，基金会也可以根据经营管理情况安</w:t>
      </w:r>
      <w:r>
        <w:rPr>
          <w:rFonts w:ascii="仿宋" w:hAnsi="仿宋" w:eastAsia="仿宋" w:cs="仿宋"/>
          <w:spacing w:val="6"/>
          <w:sz w:val="28"/>
          <w:szCs w:val="28"/>
        </w:rPr>
        <w:t xml:space="preserve"> </w:t>
      </w:r>
      <w:r>
        <w:rPr>
          <w:rFonts w:ascii="仿宋" w:hAnsi="仿宋" w:eastAsia="仿宋" w:cs="仿宋"/>
          <w:spacing w:val="-4"/>
          <w:sz w:val="28"/>
          <w:szCs w:val="28"/>
        </w:rPr>
        <w:t>排员工休法定年假，员工休法定年假应当以不影响工作为前提；法定</w:t>
      </w:r>
      <w:r>
        <w:rPr>
          <w:rFonts w:ascii="仿宋" w:hAnsi="仿宋" w:eastAsia="仿宋" w:cs="仿宋"/>
          <w:spacing w:val="10"/>
          <w:sz w:val="28"/>
          <w:szCs w:val="28"/>
        </w:rPr>
        <w:t xml:space="preserve"> </w:t>
      </w:r>
      <w:r>
        <w:rPr>
          <w:rFonts w:ascii="仿宋" w:hAnsi="仿宋" w:eastAsia="仿宋" w:cs="仿宋"/>
          <w:spacing w:val="-3"/>
          <w:sz w:val="28"/>
          <w:szCs w:val="28"/>
        </w:rPr>
        <w:t>年假可以一次休完，也可以分开休假，但应</w:t>
      </w:r>
      <w:r>
        <w:rPr>
          <w:rFonts w:ascii="仿宋" w:hAnsi="仿宋" w:eastAsia="仿宋" w:cs="仿宋"/>
          <w:spacing w:val="-4"/>
          <w:sz w:val="28"/>
          <w:szCs w:val="28"/>
        </w:rPr>
        <w:t>当在次年</w:t>
      </w:r>
      <w:r>
        <w:rPr>
          <w:rFonts w:ascii="仿宋" w:hAnsi="仿宋" w:eastAsia="仿宋" w:cs="仿宋"/>
          <w:spacing w:val="-55"/>
          <w:sz w:val="28"/>
          <w:szCs w:val="28"/>
        </w:rPr>
        <w:t xml:space="preserve"> </w:t>
      </w:r>
      <w:r>
        <w:rPr>
          <w:rFonts w:ascii="仿宋" w:hAnsi="仿宋" w:eastAsia="仿宋" w:cs="仿宋"/>
          <w:spacing w:val="-4"/>
          <w:sz w:val="28"/>
          <w:szCs w:val="28"/>
        </w:rPr>
        <w:t>3</w:t>
      </w:r>
      <w:r>
        <w:rPr>
          <w:rFonts w:ascii="仿宋" w:hAnsi="仿宋" w:eastAsia="仿宋" w:cs="仿宋"/>
          <w:spacing w:val="-35"/>
          <w:sz w:val="28"/>
          <w:szCs w:val="28"/>
        </w:rPr>
        <w:t xml:space="preserve"> </w:t>
      </w:r>
      <w:r>
        <w:rPr>
          <w:rFonts w:ascii="仿宋" w:hAnsi="仿宋" w:eastAsia="仿宋" w:cs="仿宋"/>
          <w:spacing w:val="-4"/>
          <w:sz w:val="28"/>
          <w:szCs w:val="28"/>
        </w:rPr>
        <w:t>月</w:t>
      </w:r>
      <w:r>
        <w:rPr>
          <w:rFonts w:ascii="仿宋" w:hAnsi="仿宋" w:eastAsia="仿宋" w:cs="仿宋"/>
          <w:spacing w:val="-55"/>
          <w:sz w:val="28"/>
          <w:szCs w:val="28"/>
        </w:rPr>
        <w:t xml:space="preserve"> </w:t>
      </w:r>
      <w:r>
        <w:rPr>
          <w:rFonts w:ascii="仿宋" w:hAnsi="仿宋" w:eastAsia="仿宋" w:cs="仿宋"/>
          <w:spacing w:val="-4"/>
          <w:sz w:val="28"/>
          <w:szCs w:val="28"/>
        </w:rPr>
        <w:t>31 日前休</w:t>
      </w:r>
      <w:r>
        <w:rPr>
          <w:rFonts w:ascii="仿宋" w:hAnsi="仿宋" w:eastAsia="仿宋" w:cs="仿宋"/>
          <w:sz w:val="28"/>
          <w:szCs w:val="28"/>
        </w:rPr>
        <w:t xml:space="preserve"> </w:t>
      </w:r>
      <w:r>
        <w:rPr>
          <w:rFonts w:ascii="仿宋" w:hAnsi="仿宋" w:eastAsia="仿宋" w:cs="仿宋"/>
          <w:spacing w:val="-4"/>
          <w:sz w:val="28"/>
          <w:szCs w:val="28"/>
        </w:rPr>
        <w:t>完，且最小单位为半天；因个人原因逾期未休的，视为自愿放弃，基</w:t>
      </w:r>
    </w:p>
    <w:p w14:paraId="5930133D">
      <w:pPr>
        <w:spacing w:line="361" w:lineRule="auto"/>
        <w:rPr>
          <w:rFonts w:ascii="仿宋" w:hAnsi="仿宋" w:eastAsia="仿宋" w:cs="仿宋"/>
          <w:sz w:val="28"/>
          <w:szCs w:val="28"/>
        </w:rPr>
        <w:sectPr>
          <w:pgSz w:w="11906" w:h="16839"/>
          <w:pgMar w:top="400" w:right="1743" w:bottom="400" w:left="1785" w:header="0" w:footer="850" w:gutter="0"/>
          <w:pgNumType w:fmt="decimal"/>
          <w:cols w:space="720" w:num="1"/>
        </w:sectPr>
      </w:pPr>
    </w:p>
    <w:p w14:paraId="1CE1A3DC">
      <w:pPr>
        <w:spacing w:line="287" w:lineRule="auto"/>
        <w:rPr>
          <w:rFonts w:ascii="Arial"/>
          <w:sz w:val="21"/>
        </w:rPr>
      </w:pPr>
    </w:p>
    <w:p w14:paraId="4E990167">
      <w:pPr>
        <w:spacing w:line="287" w:lineRule="auto"/>
        <w:rPr>
          <w:rFonts w:ascii="Arial"/>
          <w:sz w:val="21"/>
        </w:rPr>
      </w:pPr>
    </w:p>
    <w:p w14:paraId="58A3DAAF">
      <w:pPr>
        <w:spacing w:line="288" w:lineRule="auto"/>
        <w:rPr>
          <w:rFonts w:ascii="Arial"/>
          <w:sz w:val="21"/>
        </w:rPr>
      </w:pPr>
    </w:p>
    <w:p w14:paraId="7861BBD6">
      <w:pPr>
        <w:spacing w:line="288" w:lineRule="auto"/>
        <w:rPr>
          <w:rFonts w:ascii="Arial"/>
          <w:sz w:val="21"/>
        </w:rPr>
      </w:pPr>
    </w:p>
    <w:p w14:paraId="71F509D1">
      <w:pPr>
        <w:spacing w:before="91" w:line="221" w:lineRule="auto"/>
        <w:ind w:left="32"/>
        <w:rPr>
          <w:rFonts w:ascii="仿宋" w:hAnsi="仿宋" w:eastAsia="仿宋" w:cs="仿宋"/>
          <w:sz w:val="28"/>
          <w:szCs w:val="28"/>
        </w:rPr>
      </w:pPr>
      <w:r>
        <w:rPr>
          <w:rFonts w:ascii="仿宋" w:hAnsi="仿宋" w:eastAsia="仿宋" w:cs="仿宋"/>
          <w:spacing w:val="-2"/>
          <w:sz w:val="28"/>
          <w:szCs w:val="28"/>
        </w:rPr>
        <w:t>金会不予补休，亦不折现补偿。</w:t>
      </w:r>
    </w:p>
    <w:p w14:paraId="18E037DA">
      <w:pPr>
        <w:spacing w:before="223" w:line="359" w:lineRule="auto"/>
        <w:ind w:left="32" w:firstLine="556"/>
        <w:jc w:val="both"/>
        <w:rPr>
          <w:rFonts w:ascii="仿宋" w:hAnsi="仿宋" w:eastAsia="仿宋" w:cs="仿宋"/>
          <w:sz w:val="28"/>
          <w:szCs w:val="28"/>
        </w:rPr>
      </w:pPr>
      <w:r>
        <w:rPr>
          <w:rFonts w:ascii="仿宋" w:hAnsi="仿宋" w:eastAsia="仿宋" w:cs="仿宋"/>
          <w:spacing w:val="-4"/>
          <w:sz w:val="28"/>
          <w:szCs w:val="28"/>
        </w:rPr>
        <w:t>5.基金会确因工作需要不能安排员工休法定年假的，经员工本人</w:t>
      </w:r>
      <w:r>
        <w:rPr>
          <w:rFonts w:ascii="仿宋" w:hAnsi="仿宋" w:eastAsia="仿宋" w:cs="仿宋"/>
          <w:spacing w:val="6"/>
          <w:sz w:val="28"/>
          <w:szCs w:val="28"/>
        </w:rPr>
        <w:t xml:space="preserve"> </w:t>
      </w:r>
      <w:r>
        <w:rPr>
          <w:rFonts w:ascii="仿宋" w:hAnsi="仿宋" w:eastAsia="仿宋" w:cs="仿宋"/>
          <w:spacing w:val="-10"/>
          <w:sz w:val="28"/>
          <w:szCs w:val="28"/>
        </w:rPr>
        <w:t>同意，可以不安排员工休法定年假；对员工应休未休的法定年假</w:t>
      </w:r>
      <w:r>
        <w:rPr>
          <w:rFonts w:ascii="仿宋" w:hAnsi="仿宋" w:eastAsia="仿宋" w:cs="仿宋"/>
          <w:spacing w:val="-11"/>
          <w:sz w:val="28"/>
          <w:szCs w:val="28"/>
        </w:rPr>
        <w:t>天数，</w:t>
      </w:r>
      <w:r>
        <w:rPr>
          <w:rFonts w:ascii="仿宋" w:hAnsi="仿宋" w:eastAsia="仿宋" w:cs="仿宋"/>
          <w:sz w:val="28"/>
          <w:szCs w:val="28"/>
        </w:rPr>
        <w:t xml:space="preserve"> </w:t>
      </w:r>
      <w:r>
        <w:rPr>
          <w:rFonts w:ascii="仿宋" w:hAnsi="仿宋" w:eastAsia="仿宋" w:cs="仿宋"/>
          <w:spacing w:val="-1"/>
          <w:sz w:val="28"/>
          <w:szCs w:val="28"/>
        </w:rPr>
        <w:t>基金会应当按照国家有关法律规定支付员工法定年假工资报酬。</w:t>
      </w:r>
    </w:p>
    <w:p w14:paraId="7B998A73">
      <w:pPr>
        <w:spacing w:before="47" w:line="361" w:lineRule="auto"/>
        <w:ind w:left="32" w:right="24" w:firstLine="552"/>
        <w:jc w:val="both"/>
        <w:rPr>
          <w:rFonts w:ascii="仿宋" w:hAnsi="仿宋" w:eastAsia="仿宋" w:cs="仿宋"/>
          <w:sz w:val="28"/>
          <w:szCs w:val="28"/>
        </w:rPr>
      </w:pPr>
      <w:r>
        <w:rPr>
          <w:rFonts w:ascii="仿宋" w:hAnsi="仿宋" w:eastAsia="仿宋" w:cs="仿宋"/>
          <w:spacing w:val="-6"/>
          <w:sz w:val="28"/>
          <w:szCs w:val="28"/>
        </w:rPr>
        <w:t>6.员工离职当年（</w:t>
      </w:r>
      <w:r>
        <w:rPr>
          <w:rFonts w:ascii="仿宋" w:hAnsi="仿宋" w:eastAsia="仿宋" w:cs="仿宋"/>
          <w:spacing w:val="-62"/>
          <w:sz w:val="28"/>
          <w:szCs w:val="28"/>
        </w:rPr>
        <w:t xml:space="preserve"> </w:t>
      </w:r>
      <w:r>
        <w:rPr>
          <w:rFonts w:ascii="仿宋" w:hAnsi="仿宋" w:eastAsia="仿宋" w:cs="仿宋"/>
          <w:spacing w:val="-6"/>
          <w:sz w:val="28"/>
          <w:szCs w:val="28"/>
        </w:rPr>
        <w:t>日历年度）可休的法定</w:t>
      </w:r>
      <w:r>
        <w:rPr>
          <w:rFonts w:ascii="仿宋" w:hAnsi="仿宋" w:eastAsia="仿宋" w:cs="仿宋"/>
          <w:spacing w:val="-7"/>
          <w:sz w:val="28"/>
          <w:szCs w:val="28"/>
        </w:rPr>
        <w:t>年假天数按照实际工作</w:t>
      </w:r>
      <w:r>
        <w:rPr>
          <w:rFonts w:ascii="仿宋" w:hAnsi="仿宋" w:eastAsia="仿宋" w:cs="仿宋"/>
          <w:sz w:val="28"/>
          <w:szCs w:val="28"/>
        </w:rPr>
        <w:t xml:space="preserve"> </w:t>
      </w:r>
      <w:r>
        <w:rPr>
          <w:rFonts w:ascii="仿宋" w:hAnsi="仿宋" w:eastAsia="仿宋" w:cs="仿宋"/>
          <w:spacing w:val="-4"/>
          <w:sz w:val="28"/>
          <w:szCs w:val="28"/>
        </w:rPr>
        <w:t>月数折算，实际工作月数不足一个月的部分不计；如有未休年假，基</w:t>
      </w:r>
      <w:r>
        <w:rPr>
          <w:rFonts w:ascii="仿宋" w:hAnsi="仿宋" w:eastAsia="仿宋" w:cs="仿宋"/>
          <w:spacing w:val="7"/>
          <w:sz w:val="28"/>
          <w:szCs w:val="28"/>
        </w:rPr>
        <w:t xml:space="preserve"> </w:t>
      </w:r>
      <w:r>
        <w:rPr>
          <w:rFonts w:ascii="仿宋" w:hAnsi="仿宋" w:eastAsia="仿宋" w:cs="仿宋"/>
          <w:spacing w:val="-4"/>
          <w:sz w:val="28"/>
          <w:szCs w:val="28"/>
        </w:rPr>
        <w:t>金会可安排员工在离职前休假；如果离职时已休年假天数超过当年可</w:t>
      </w:r>
      <w:r>
        <w:rPr>
          <w:rFonts w:ascii="仿宋" w:hAnsi="仿宋" w:eastAsia="仿宋" w:cs="仿宋"/>
          <w:spacing w:val="6"/>
          <w:sz w:val="28"/>
          <w:szCs w:val="28"/>
        </w:rPr>
        <w:t xml:space="preserve"> </w:t>
      </w:r>
      <w:r>
        <w:rPr>
          <w:rFonts w:ascii="仿宋" w:hAnsi="仿宋" w:eastAsia="仿宋" w:cs="仿宋"/>
          <w:spacing w:val="-2"/>
          <w:sz w:val="28"/>
          <w:szCs w:val="28"/>
        </w:rPr>
        <w:t>休天数，超出部分折算成工资在离职时从应付其的款项中直接扣除。</w:t>
      </w:r>
    </w:p>
    <w:p w14:paraId="084A12A5">
      <w:pPr>
        <w:spacing w:before="48" w:line="221" w:lineRule="auto"/>
        <w:ind w:left="603"/>
        <w:rPr>
          <w:rFonts w:ascii="仿宋" w:hAnsi="仿宋" w:eastAsia="仿宋" w:cs="仿宋"/>
          <w:sz w:val="28"/>
          <w:szCs w:val="28"/>
        </w:rPr>
      </w:pPr>
      <w:r>
        <w:rPr>
          <w:rFonts w:ascii="仿宋" w:hAnsi="仿宋" w:eastAsia="仿宋" w:cs="仿宋"/>
          <w:b/>
          <w:bCs/>
          <w:spacing w:val="-5"/>
          <w:sz w:val="28"/>
          <w:szCs w:val="28"/>
        </w:rPr>
        <w:t>第一百一十四条</w:t>
      </w:r>
      <w:r>
        <w:rPr>
          <w:rFonts w:ascii="仿宋" w:hAnsi="仿宋" w:eastAsia="仿宋" w:cs="仿宋"/>
          <w:spacing w:val="-5"/>
          <w:sz w:val="28"/>
          <w:szCs w:val="28"/>
        </w:rPr>
        <w:t xml:space="preserve"> </w:t>
      </w:r>
      <w:r>
        <w:rPr>
          <w:rFonts w:ascii="仿宋" w:hAnsi="仿宋" w:eastAsia="仿宋" w:cs="仿宋"/>
          <w:b/>
          <w:bCs/>
          <w:spacing w:val="-5"/>
          <w:sz w:val="28"/>
          <w:szCs w:val="28"/>
        </w:rPr>
        <w:t>婚假</w:t>
      </w:r>
    </w:p>
    <w:p w14:paraId="473CB983">
      <w:pPr>
        <w:spacing w:before="226" w:line="221" w:lineRule="auto"/>
        <w:ind w:left="591"/>
        <w:rPr>
          <w:rFonts w:ascii="仿宋" w:hAnsi="仿宋" w:eastAsia="仿宋" w:cs="仿宋"/>
          <w:sz w:val="28"/>
          <w:szCs w:val="28"/>
        </w:rPr>
      </w:pPr>
      <w:r>
        <w:rPr>
          <w:rFonts w:ascii="仿宋" w:hAnsi="仿宋" w:eastAsia="仿宋" w:cs="仿宋"/>
          <w:spacing w:val="-2"/>
          <w:sz w:val="28"/>
          <w:szCs w:val="28"/>
        </w:rPr>
        <w:t>基金会员工结婚，有权享受下列假期：</w:t>
      </w:r>
    </w:p>
    <w:p w14:paraId="41DD914C">
      <w:pPr>
        <w:spacing w:before="223" w:line="353" w:lineRule="auto"/>
        <w:ind w:left="34" w:right="80" w:firstLine="569"/>
        <w:rPr>
          <w:rFonts w:ascii="仿宋" w:hAnsi="仿宋" w:eastAsia="仿宋" w:cs="仿宋"/>
          <w:sz w:val="28"/>
          <w:szCs w:val="28"/>
        </w:rPr>
      </w:pPr>
      <w:r>
        <w:rPr>
          <w:rFonts w:ascii="仿宋" w:hAnsi="仿宋" w:eastAsia="仿宋" w:cs="仿宋"/>
          <w:spacing w:val="4"/>
          <w:sz w:val="28"/>
          <w:szCs w:val="28"/>
        </w:rPr>
        <w:t>1.员工依法办理结婚登记的夫妻，可以享受</w:t>
      </w:r>
      <w:r>
        <w:rPr>
          <w:rFonts w:ascii="仿宋" w:hAnsi="仿宋" w:eastAsia="仿宋" w:cs="仿宋"/>
          <w:spacing w:val="41"/>
          <w:sz w:val="28"/>
          <w:szCs w:val="28"/>
        </w:rPr>
        <w:t xml:space="preserve"> </w:t>
      </w:r>
      <w:r>
        <w:rPr>
          <w:rFonts w:ascii="仿宋" w:hAnsi="仿宋" w:eastAsia="仿宋" w:cs="仿宋"/>
          <w:spacing w:val="4"/>
          <w:sz w:val="28"/>
          <w:szCs w:val="28"/>
        </w:rPr>
        <w:t>10 个工作日</w:t>
      </w:r>
      <w:r>
        <w:rPr>
          <w:rFonts w:ascii="仿宋" w:hAnsi="仿宋" w:eastAsia="仿宋" w:cs="仿宋"/>
          <w:spacing w:val="3"/>
          <w:sz w:val="28"/>
          <w:szCs w:val="28"/>
        </w:rPr>
        <w:t>的婚</w:t>
      </w:r>
      <w:r>
        <w:rPr>
          <w:rFonts w:ascii="仿宋" w:hAnsi="仿宋" w:eastAsia="仿宋" w:cs="仿宋"/>
          <w:sz w:val="28"/>
          <w:szCs w:val="28"/>
        </w:rPr>
        <w:t xml:space="preserve"> </w:t>
      </w:r>
      <w:r>
        <w:rPr>
          <w:rFonts w:ascii="仿宋" w:hAnsi="仿宋" w:eastAsia="仿宋" w:cs="仿宋"/>
          <w:spacing w:val="-2"/>
          <w:sz w:val="28"/>
          <w:szCs w:val="28"/>
        </w:rPr>
        <w:t>假。婚假包括周末和公共假日；</w:t>
      </w:r>
    </w:p>
    <w:p w14:paraId="7843C05A">
      <w:pPr>
        <w:spacing w:before="51" w:line="353" w:lineRule="auto"/>
        <w:ind w:left="39" w:right="80" w:firstLine="547"/>
        <w:rPr>
          <w:rFonts w:ascii="仿宋" w:hAnsi="仿宋" w:eastAsia="仿宋" w:cs="仿宋"/>
          <w:sz w:val="28"/>
          <w:szCs w:val="28"/>
        </w:rPr>
      </w:pPr>
      <w:r>
        <w:rPr>
          <w:rFonts w:ascii="仿宋" w:hAnsi="仿宋" w:eastAsia="仿宋" w:cs="仿宋"/>
          <w:spacing w:val="1"/>
          <w:sz w:val="28"/>
          <w:szCs w:val="28"/>
        </w:rPr>
        <w:t>2.员工应在结婚登记之日起 1 个月内知会基金会行政官员并提</w:t>
      </w:r>
      <w:r>
        <w:rPr>
          <w:rFonts w:ascii="仿宋" w:hAnsi="仿宋" w:eastAsia="仿宋" w:cs="仿宋"/>
          <w:spacing w:val="3"/>
          <w:sz w:val="28"/>
          <w:szCs w:val="28"/>
        </w:rPr>
        <w:t xml:space="preserve"> </w:t>
      </w:r>
      <w:r>
        <w:rPr>
          <w:rFonts w:ascii="仿宋" w:hAnsi="仿宋" w:eastAsia="仿宋" w:cs="仿宋"/>
          <w:spacing w:val="-4"/>
          <w:sz w:val="28"/>
          <w:szCs w:val="28"/>
        </w:rPr>
        <w:t>交结婚证复印件；</w:t>
      </w:r>
    </w:p>
    <w:p w14:paraId="40A1A3B6">
      <w:pPr>
        <w:spacing w:before="47" w:line="359" w:lineRule="auto"/>
        <w:ind w:left="31" w:right="48" w:firstLine="556"/>
        <w:jc w:val="both"/>
        <w:rPr>
          <w:rFonts w:ascii="仿宋" w:hAnsi="仿宋" w:eastAsia="仿宋" w:cs="仿宋"/>
          <w:sz w:val="28"/>
          <w:szCs w:val="28"/>
        </w:rPr>
      </w:pPr>
      <w:r>
        <w:rPr>
          <w:rFonts w:ascii="仿宋" w:hAnsi="仿宋" w:eastAsia="仿宋" w:cs="仿宋"/>
          <w:spacing w:val="-4"/>
          <w:sz w:val="28"/>
          <w:szCs w:val="28"/>
        </w:rPr>
        <w:t>3.婚假为一次性假期，需在结婚登记日起</w:t>
      </w:r>
      <w:r>
        <w:rPr>
          <w:rFonts w:ascii="仿宋" w:hAnsi="仿宋" w:eastAsia="仿宋" w:cs="仿宋"/>
          <w:spacing w:val="-52"/>
          <w:sz w:val="28"/>
          <w:szCs w:val="28"/>
        </w:rPr>
        <w:t xml:space="preserve"> </w:t>
      </w:r>
      <w:r>
        <w:rPr>
          <w:rFonts w:ascii="仿宋" w:hAnsi="仿宋" w:eastAsia="仿宋" w:cs="仿宋"/>
          <w:spacing w:val="-4"/>
          <w:sz w:val="28"/>
          <w:szCs w:val="28"/>
        </w:rPr>
        <w:t>6</w:t>
      </w:r>
      <w:r>
        <w:rPr>
          <w:rFonts w:ascii="仿宋" w:hAnsi="仿宋" w:eastAsia="仿宋" w:cs="仿宋"/>
          <w:spacing w:val="-50"/>
          <w:sz w:val="28"/>
          <w:szCs w:val="28"/>
        </w:rPr>
        <w:t xml:space="preserve"> </w:t>
      </w:r>
      <w:r>
        <w:rPr>
          <w:rFonts w:ascii="仿宋" w:hAnsi="仿宋" w:eastAsia="仿宋" w:cs="仿宋"/>
          <w:spacing w:val="-4"/>
          <w:sz w:val="28"/>
          <w:szCs w:val="28"/>
        </w:rPr>
        <w:t>个月内一次性休完；</w:t>
      </w:r>
      <w:r>
        <w:rPr>
          <w:rFonts w:ascii="仿宋" w:hAnsi="仿宋" w:eastAsia="仿宋" w:cs="仿宋"/>
          <w:sz w:val="28"/>
          <w:szCs w:val="28"/>
        </w:rPr>
        <w:t xml:space="preserve"> </w:t>
      </w:r>
      <w:r>
        <w:rPr>
          <w:rFonts w:ascii="仿宋" w:hAnsi="仿宋" w:eastAsia="仿宋" w:cs="仿宋"/>
          <w:spacing w:val="-4"/>
          <w:sz w:val="28"/>
          <w:szCs w:val="28"/>
        </w:rPr>
        <w:t>逾期未休的，视为自愿放弃，基金会不予补休，亦不折现补偿；加入</w:t>
      </w:r>
      <w:r>
        <w:rPr>
          <w:rFonts w:ascii="仿宋" w:hAnsi="仿宋" w:eastAsia="仿宋" w:cs="仿宋"/>
          <w:spacing w:val="7"/>
          <w:sz w:val="28"/>
          <w:szCs w:val="28"/>
        </w:rPr>
        <w:t xml:space="preserve"> </w:t>
      </w:r>
      <w:r>
        <w:rPr>
          <w:rFonts w:ascii="仿宋" w:hAnsi="仿宋" w:eastAsia="仿宋" w:cs="仿宋"/>
          <w:spacing w:val="-2"/>
          <w:sz w:val="28"/>
          <w:szCs w:val="28"/>
        </w:rPr>
        <w:t>基金会之后结婚的员工方可休婚假。</w:t>
      </w:r>
    </w:p>
    <w:p w14:paraId="532DE411">
      <w:pPr>
        <w:spacing w:before="47" w:line="221" w:lineRule="auto"/>
        <w:ind w:left="603"/>
        <w:rPr>
          <w:rFonts w:ascii="仿宋" w:hAnsi="仿宋" w:eastAsia="仿宋" w:cs="仿宋"/>
          <w:sz w:val="28"/>
          <w:szCs w:val="28"/>
        </w:rPr>
      </w:pPr>
      <w:r>
        <w:rPr>
          <w:rFonts w:ascii="仿宋" w:hAnsi="仿宋" w:eastAsia="仿宋" w:cs="仿宋"/>
          <w:b/>
          <w:bCs/>
          <w:spacing w:val="-5"/>
          <w:sz w:val="28"/>
          <w:szCs w:val="28"/>
        </w:rPr>
        <w:t>第一百一十五条</w:t>
      </w:r>
      <w:r>
        <w:rPr>
          <w:rFonts w:ascii="仿宋" w:hAnsi="仿宋" w:eastAsia="仿宋" w:cs="仿宋"/>
          <w:spacing w:val="-5"/>
          <w:sz w:val="28"/>
          <w:szCs w:val="28"/>
        </w:rPr>
        <w:t xml:space="preserve"> </w:t>
      </w:r>
      <w:r>
        <w:rPr>
          <w:rFonts w:ascii="仿宋" w:hAnsi="仿宋" w:eastAsia="仿宋" w:cs="仿宋"/>
          <w:b/>
          <w:bCs/>
          <w:spacing w:val="-5"/>
          <w:sz w:val="28"/>
          <w:szCs w:val="28"/>
        </w:rPr>
        <w:t>产假和津贴</w:t>
      </w:r>
    </w:p>
    <w:p w14:paraId="7DF6A9A7">
      <w:pPr>
        <w:spacing w:before="227" w:line="358" w:lineRule="auto"/>
        <w:ind w:left="37" w:right="3" w:firstLine="562"/>
        <w:jc w:val="both"/>
        <w:rPr>
          <w:rFonts w:ascii="仿宋" w:hAnsi="仿宋" w:eastAsia="仿宋" w:cs="仿宋"/>
          <w:sz w:val="28"/>
          <w:szCs w:val="28"/>
        </w:rPr>
      </w:pPr>
      <w:r>
        <w:rPr>
          <w:rFonts w:ascii="仿宋" w:hAnsi="仿宋" w:eastAsia="仿宋" w:cs="仿宋"/>
          <w:spacing w:val="-7"/>
          <w:sz w:val="28"/>
          <w:szCs w:val="28"/>
        </w:rPr>
        <w:t>女员工生育可以享受基础产假</w:t>
      </w:r>
      <w:r>
        <w:rPr>
          <w:rFonts w:ascii="仿宋" w:hAnsi="仿宋" w:eastAsia="仿宋" w:cs="仿宋"/>
          <w:spacing w:val="-54"/>
          <w:sz w:val="28"/>
          <w:szCs w:val="28"/>
        </w:rPr>
        <w:t xml:space="preserve"> </w:t>
      </w:r>
      <w:r>
        <w:rPr>
          <w:rFonts w:ascii="仿宋" w:hAnsi="仿宋" w:eastAsia="仿宋" w:cs="仿宋"/>
          <w:spacing w:val="-7"/>
          <w:sz w:val="28"/>
          <w:szCs w:val="28"/>
        </w:rPr>
        <w:t>98</w:t>
      </w:r>
      <w:r>
        <w:rPr>
          <w:rFonts w:ascii="仿宋" w:hAnsi="仿宋" w:eastAsia="仿宋" w:cs="仿宋"/>
          <w:spacing w:val="-52"/>
          <w:sz w:val="28"/>
          <w:szCs w:val="28"/>
        </w:rPr>
        <w:t xml:space="preserve"> </w:t>
      </w:r>
      <w:r>
        <w:rPr>
          <w:rFonts w:ascii="仿宋" w:hAnsi="仿宋" w:eastAsia="仿宋" w:cs="仿宋"/>
          <w:spacing w:val="-7"/>
          <w:sz w:val="28"/>
          <w:szCs w:val="28"/>
        </w:rPr>
        <w:t>天；难产的，增加产假 15 天；</w:t>
      </w:r>
      <w:r>
        <w:rPr>
          <w:rFonts w:ascii="仿宋" w:hAnsi="仿宋" w:eastAsia="仿宋" w:cs="仿宋"/>
          <w:sz w:val="28"/>
          <w:szCs w:val="28"/>
        </w:rPr>
        <w:t xml:space="preserve"> </w:t>
      </w:r>
      <w:r>
        <w:rPr>
          <w:rFonts w:ascii="仿宋" w:hAnsi="仿宋" w:eastAsia="仿宋" w:cs="仿宋"/>
          <w:spacing w:val="-4"/>
          <w:sz w:val="28"/>
          <w:szCs w:val="28"/>
        </w:rPr>
        <w:t>多胞胎生育的，每多一胎，增加产假 15 天；符合法律规定生育的女</w:t>
      </w:r>
      <w:r>
        <w:rPr>
          <w:rFonts w:ascii="仿宋" w:hAnsi="仿宋" w:eastAsia="仿宋" w:cs="仿宋"/>
          <w:spacing w:val="10"/>
          <w:sz w:val="28"/>
          <w:szCs w:val="28"/>
        </w:rPr>
        <w:t xml:space="preserve"> </w:t>
      </w:r>
      <w:r>
        <w:rPr>
          <w:rFonts w:ascii="仿宋" w:hAnsi="仿宋" w:eastAsia="仿宋" w:cs="仿宋"/>
          <w:spacing w:val="-5"/>
          <w:sz w:val="28"/>
          <w:szCs w:val="28"/>
        </w:rPr>
        <w:t>性的配偶可享受 15</w:t>
      </w:r>
      <w:r>
        <w:rPr>
          <w:rFonts w:ascii="仿宋" w:hAnsi="仿宋" w:eastAsia="仿宋" w:cs="仿宋"/>
          <w:spacing w:val="29"/>
          <w:sz w:val="28"/>
          <w:szCs w:val="28"/>
        </w:rPr>
        <w:t xml:space="preserve"> </w:t>
      </w:r>
      <w:r>
        <w:rPr>
          <w:rFonts w:ascii="仿宋" w:hAnsi="仿宋" w:eastAsia="仿宋" w:cs="仿宋"/>
          <w:spacing w:val="-5"/>
          <w:sz w:val="28"/>
          <w:szCs w:val="28"/>
        </w:rPr>
        <w:t>天陪产假。</w:t>
      </w:r>
      <w:r>
        <w:rPr>
          <w:rFonts w:ascii="仿宋" w:hAnsi="仿宋" w:eastAsia="仿宋" w:cs="仿宋"/>
          <w:spacing w:val="33"/>
          <w:sz w:val="28"/>
          <w:szCs w:val="28"/>
        </w:rPr>
        <w:t xml:space="preserve"> </w:t>
      </w:r>
      <w:r>
        <w:rPr>
          <w:rFonts w:ascii="仿宋" w:hAnsi="仿宋" w:eastAsia="仿宋" w:cs="仿宋"/>
          <w:spacing w:val="-5"/>
          <w:sz w:val="28"/>
          <w:szCs w:val="28"/>
        </w:rPr>
        <w:t>即：</w:t>
      </w:r>
    </w:p>
    <w:p w14:paraId="576A53D2">
      <w:pPr>
        <w:spacing w:before="50" w:line="354" w:lineRule="auto"/>
        <w:ind w:left="586" w:right="5902" w:firstLine="17"/>
        <w:rPr>
          <w:rFonts w:ascii="仿宋" w:hAnsi="仿宋" w:eastAsia="仿宋" w:cs="仿宋"/>
          <w:sz w:val="28"/>
          <w:szCs w:val="28"/>
        </w:rPr>
      </w:pPr>
      <w:r>
        <w:rPr>
          <w:rFonts w:ascii="仿宋" w:hAnsi="仿宋" w:eastAsia="仿宋" w:cs="仿宋"/>
          <w:spacing w:val="-3"/>
          <w:sz w:val="28"/>
          <w:szCs w:val="28"/>
        </w:rPr>
        <w:t>1.顺产</w:t>
      </w:r>
      <w:r>
        <w:rPr>
          <w:rFonts w:ascii="仿宋" w:hAnsi="仿宋" w:eastAsia="仿宋" w:cs="仿宋"/>
          <w:spacing w:val="-60"/>
          <w:sz w:val="28"/>
          <w:szCs w:val="28"/>
        </w:rPr>
        <w:t xml:space="preserve"> </w:t>
      </w:r>
      <w:r>
        <w:rPr>
          <w:rFonts w:ascii="仿宋" w:hAnsi="仿宋" w:eastAsia="仿宋" w:cs="仿宋"/>
          <w:spacing w:val="-3"/>
          <w:sz w:val="28"/>
          <w:szCs w:val="28"/>
        </w:rPr>
        <w:t>98</w:t>
      </w:r>
      <w:r>
        <w:rPr>
          <w:rFonts w:ascii="仿宋" w:hAnsi="仿宋" w:eastAsia="仿宋" w:cs="仿宋"/>
          <w:spacing w:val="17"/>
          <w:sz w:val="28"/>
          <w:szCs w:val="28"/>
        </w:rPr>
        <w:t xml:space="preserve"> </w:t>
      </w:r>
      <w:r>
        <w:rPr>
          <w:rFonts w:ascii="仿宋" w:hAnsi="仿宋" w:eastAsia="仿宋" w:cs="仿宋"/>
          <w:spacing w:val="-3"/>
          <w:sz w:val="28"/>
          <w:szCs w:val="28"/>
        </w:rPr>
        <w:t>天。</w:t>
      </w:r>
      <w:r>
        <w:rPr>
          <w:rFonts w:ascii="仿宋" w:hAnsi="仿宋" w:eastAsia="仿宋" w:cs="仿宋"/>
          <w:sz w:val="28"/>
          <w:szCs w:val="28"/>
        </w:rPr>
        <w:t xml:space="preserve"> </w:t>
      </w:r>
      <w:r>
        <w:rPr>
          <w:rFonts w:ascii="仿宋" w:hAnsi="仿宋" w:eastAsia="仿宋" w:cs="仿宋"/>
          <w:spacing w:val="-8"/>
          <w:sz w:val="28"/>
          <w:szCs w:val="28"/>
        </w:rPr>
        <w:t>2.难产+15</w:t>
      </w:r>
      <w:r>
        <w:rPr>
          <w:rFonts w:ascii="仿宋" w:hAnsi="仿宋" w:eastAsia="仿宋" w:cs="仿宋"/>
          <w:spacing w:val="23"/>
          <w:sz w:val="28"/>
          <w:szCs w:val="28"/>
        </w:rPr>
        <w:t xml:space="preserve"> </w:t>
      </w:r>
      <w:r>
        <w:rPr>
          <w:rFonts w:ascii="仿宋" w:hAnsi="仿宋" w:eastAsia="仿宋" w:cs="仿宋"/>
          <w:spacing w:val="-8"/>
          <w:sz w:val="28"/>
          <w:szCs w:val="28"/>
        </w:rPr>
        <w:t>天。</w:t>
      </w:r>
    </w:p>
    <w:p w14:paraId="6690FBAF">
      <w:pPr>
        <w:spacing w:before="45" w:line="222" w:lineRule="auto"/>
        <w:ind w:left="588"/>
        <w:rPr>
          <w:rFonts w:ascii="仿宋" w:hAnsi="仿宋" w:eastAsia="仿宋" w:cs="仿宋"/>
          <w:sz w:val="28"/>
          <w:szCs w:val="28"/>
        </w:rPr>
      </w:pPr>
      <w:r>
        <w:rPr>
          <w:rFonts w:ascii="仿宋" w:hAnsi="仿宋" w:eastAsia="仿宋" w:cs="仿宋"/>
          <w:spacing w:val="-3"/>
          <w:sz w:val="28"/>
          <w:szCs w:val="28"/>
        </w:rPr>
        <w:t>3.多胞胎 +每多一个孩子</w:t>
      </w:r>
      <w:r>
        <w:rPr>
          <w:rFonts w:ascii="仿宋" w:hAnsi="仿宋" w:eastAsia="仿宋" w:cs="仿宋"/>
          <w:spacing w:val="39"/>
          <w:sz w:val="28"/>
          <w:szCs w:val="28"/>
        </w:rPr>
        <w:t xml:space="preserve"> </w:t>
      </w:r>
      <w:r>
        <w:rPr>
          <w:rFonts w:ascii="仿宋" w:hAnsi="仿宋" w:eastAsia="仿宋" w:cs="仿宋"/>
          <w:spacing w:val="-3"/>
          <w:sz w:val="28"/>
          <w:szCs w:val="28"/>
        </w:rPr>
        <w:t>15 天。</w:t>
      </w:r>
    </w:p>
    <w:p w14:paraId="1FEED84A">
      <w:pPr>
        <w:spacing w:line="222" w:lineRule="auto"/>
        <w:rPr>
          <w:rFonts w:ascii="仿宋" w:hAnsi="仿宋" w:eastAsia="仿宋" w:cs="仿宋"/>
          <w:sz w:val="28"/>
          <w:szCs w:val="28"/>
        </w:rPr>
        <w:sectPr>
          <w:pgSz w:w="11906" w:h="16839"/>
          <w:pgMar w:top="400" w:right="1718" w:bottom="400" w:left="1785" w:header="0" w:footer="850" w:gutter="0"/>
          <w:pgNumType w:fmt="decimal"/>
          <w:cols w:space="720" w:num="1"/>
        </w:sectPr>
      </w:pPr>
    </w:p>
    <w:p w14:paraId="71B918BF">
      <w:pPr>
        <w:spacing w:line="287" w:lineRule="auto"/>
        <w:rPr>
          <w:rFonts w:ascii="Arial"/>
          <w:sz w:val="21"/>
        </w:rPr>
      </w:pPr>
    </w:p>
    <w:p w14:paraId="37358772">
      <w:pPr>
        <w:spacing w:line="287" w:lineRule="auto"/>
        <w:rPr>
          <w:rFonts w:ascii="Arial"/>
          <w:sz w:val="21"/>
        </w:rPr>
      </w:pPr>
    </w:p>
    <w:p w14:paraId="034E5DCF">
      <w:pPr>
        <w:spacing w:line="287" w:lineRule="auto"/>
        <w:rPr>
          <w:rFonts w:ascii="Arial"/>
          <w:sz w:val="21"/>
        </w:rPr>
      </w:pPr>
    </w:p>
    <w:p w14:paraId="68A3E09A">
      <w:pPr>
        <w:spacing w:line="288" w:lineRule="auto"/>
        <w:rPr>
          <w:rFonts w:ascii="Arial"/>
          <w:sz w:val="21"/>
        </w:rPr>
      </w:pPr>
    </w:p>
    <w:p w14:paraId="66D0F935">
      <w:pPr>
        <w:spacing w:before="91" w:line="353" w:lineRule="auto"/>
        <w:ind w:left="61" w:right="66" w:firstLine="520"/>
        <w:rPr>
          <w:rFonts w:ascii="仿宋" w:hAnsi="仿宋" w:eastAsia="仿宋" w:cs="仿宋"/>
          <w:sz w:val="28"/>
          <w:szCs w:val="28"/>
        </w:rPr>
      </w:pPr>
      <w:r>
        <w:rPr>
          <w:rFonts w:ascii="仿宋" w:hAnsi="仿宋" w:eastAsia="仿宋" w:cs="仿宋"/>
          <w:spacing w:val="-2"/>
          <w:sz w:val="28"/>
          <w:szCs w:val="28"/>
        </w:rPr>
        <w:t>4.怀孕的女员工，在劳动时间内进行产前</w:t>
      </w:r>
      <w:r>
        <w:rPr>
          <w:rFonts w:ascii="仿宋" w:hAnsi="仿宋" w:eastAsia="仿宋" w:cs="仿宋"/>
          <w:spacing w:val="-3"/>
          <w:sz w:val="28"/>
          <w:szCs w:val="28"/>
        </w:rPr>
        <w:t>检查，算作劳动时间，</w:t>
      </w:r>
      <w:r>
        <w:rPr>
          <w:rFonts w:ascii="仿宋" w:hAnsi="仿宋" w:eastAsia="仿宋" w:cs="仿宋"/>
          <w:sz w:val="28"/>
          <w:szCs w:val="28"/>
        </w:rPr>
        <w:t xml:space="preserve"> </w:t>
      </w:r>
      <w:r>
        <w:rPr>
          <w:rFonts w:ascii="仿宋" w:hAnsi="仿宋" w:eastAsia="仿宋" w:cs="仿宋"/>
          <w:spacing w:val="-8"/>
          <w:sz w:val="28"/>
          <w:szCs w:val="28"/>
        </w:rPr>
        <w:t>以病假处理。</w:t>
      </w:r>
    </w:p>
    <w:p w14:paraId="523A2E62">
      <w:pPr>
        <w:spacing w:before="49" w:line="354" w:lineRule="auto"/>
        <w:ind w:left="49" w:right="101" w:firstLine="539"/>
        <w:rPr>
          <w:rFonts w:ascii="仿宋" w:hAnsi="仿宋" w:eastAsia="仿宋" w:cs="仿宋"/>
          <w:sz w:val="28"/>
          <w:szCs w:val="28"/>
        </w:rPr>
      </w:pPr>
      <w:r>
        <w:rPr>
          <w:rFonts w:ascii="仿宋" w:hAnsi="仿宋" w:eastAsia="仿宋" w:cs="仿宋"/>
          <w:spacing w:val="-4"/>
          <w:sz w:val="28"/>
          <w:szCs w:val="28"/>
        </w:rPr>
        <w:t>5.女员工怀孕流产，根据医院诊断证明按当地有关规定享受相应</w:t>
      </w:r>
      <w:r>
        <w:rPr>
          <w:rFonts w:ascii="仿宋" w:hAnsi="仿宋" w:eastAsia="仿宋" w:cs="仿宋"/>
          <w:spacing w:val="6"/>
          <w:sz w:val="28"/>
          <w:szCs w:val="28"/>
        </w:rPr>
        <w:t xml:space="preserve"> </w:t>
      </w:r>
      <w:r>
        <w:rPr>
          <w:rFonts w:ascii="仿宋" w:hAnsi="仿宋" w:eastAsia="仿宋" w:cs="仿宋"/>
          <w:spacing w:val="-12"/>
          <w:sz w:val="28"/>
          <w:szCs w:val="28"/>
        </w:rPr>
        <w:t>的</w:t>
      </w:r>
      <w:r>
        <w:rPr>
          <w:rFonts w:ascii="仿宋" w:hAnsi="仿宋" w:eastAsia="仿宋" w:cs="仿宋"/>
          <w:spacing w:val="-40"/>
          <w:sz w:val="28"/>
          <w:szCs w:val="28"/>
        </w:rPr>
        <w:t xml:space="preserve"> </w:t>
      </w:r>
      <w:r>
        <w:rPr>
          <w:rFonts w:ascii="仿宋" w:hAnsi="仿宋" w:eastAsia="仿宋" w:cs="仿宋"/>
          <w:spacing w:val="-12"/>
          <w:sz w:val="28"/>
          <w:szCs w:val="28"/>
        </w:rPr>
        <w:t>15</w:t>
      </w:r>
      <w:r>
        <w:rPr>
          <w:rFonts w:ascii="仿宋" w:hAnsi="仿宋" w:eastAsia="仿宋" w:cs="仿宋"/>
          <w:spacing w:val="-52"/>
          <w:sz w:val="28"/>
          <w:szCs w:val="28"/>
        </w:rPr>
        <w:t xml:space="preserve"> </w:t>
      </w:r>
      <w:r>
        <w:rPr>
          <w:rFonts w:ascii="仿宋" w:hAnsi="仿宋" w:eastAsia="仿宋" w:cs="仿宋"/>
          <w:spacing w:val="-12"/>
          <w:sz w:val="28"/>
          <w:szCs w:val="28"/>
        </w:rPr>
        <w:t>天产假。</w:t>
      </w:r>
    </w:p>
    <w:p w14:paraId="16B5AA01">
      <w:pPr>
        <w:spacing w:before="45" w:line="359" w:lineRule="auto"/>
        <w:ind w:left="34" w:right="66" w:firstLine="550"/>
        <w:jc w:val="both"/>
        <w:rPr>
          <w:rFonts w:ascii="仿宋" w:hAnsi="仿宋" w:eastAsia="仿宋" w:cs="仿宋"/>
          <w:sz w:val="28"/>
          <w:szCs w:val="28"/>
        </w:rPr>
      </w:pPr>
      <w:r>
        <w:rPr>
          <w:rFonts w:ascii="仿宋" w:hAnsi="仿宋" w:eastAsia="仿宋" w:cs="仿宋"/>
          <w:spacing w:val="-6"/>
          <w:sz w:val="28"/>
          <w:szCs w:val="28"/>
        </w:rPr>
        <w:t>6.产假一般自产前</w:t>
      </w:r>
      <w:r>
        <w:rPr>
          <w:rFonts w:ascii="仿宋" w:hAnsi="仿宋" w:eastAsia="仿宋" w:cs="仿宋"/>
          <w:spacing w:val="-25"/>
          <w:sz w:val="28"/>
          <w:szCs w:val="28"/>
        </w:rPr>
        <w:t xml:space="preserve"> </w:t>
      </w:r>
      <w:r>
        <w:rPr>
          <w:rFonts w:ascii="仿宋" w:hAnsi="仿宋" w:eastAsia="仿宋" w:cs="仿宋"/>
          <w:spacing w:val="-6"/>
          <w:sz w:val="28"/>
          <w:szCs w:val="28"/>
        </w:rPr>
        <w:t>15</w:t>
      </w:r>
      <w:r>
        <w:rPr>
          <w:rFonts w:ascii="仿宋" w:hAnsi="仿宋" w:eastAsia="仿宋" w:cs="仿宋"/>
          <w:spacing w:val="-52"/>
          <w:sz w:val="28"/>
          <w:szCs w:val="28"/>
        </w:rPr>
        <w:t xml:space="preserve"> </w:t>
      </w:r>
      <w:r>
        <w:rPr>
          <w:rFonts w:ascii="仿宋" w:hAnsi="仿宋" w:eastAsia="仿宋" w:cs="仿宋"/>
          <w:spacing w:val="-6"/>
          <w:sz w:val="28"/>
          <w:szCs w:val="28"/>
        </w:rPr>
        <w:t>天开始计算，早于产前</w:t>
      </w:r>
      <w:r>
        <w:rPr>
          <w:rFonts w:ascii="仿宋" w:hAnsi="仿宋" w:eastAsia="仿宋" w:cs="仿宋"/>
          <w:spacing w:val="-42"/>
          <w:sz w:val="28"/>
          <w:szCs w:val="28"/>
        </w:rPr>
        <w:t xml:space="preserve"> </w:t>
      </w:r>
      <w:r>
        <w:rPr>
          <w:rFonts w:ascii="仿宋" w:hAnsi="仿宋" w:eastAsia="仿宋" w:cs="仿宋"/>
          <w:spacing w:val="-6"/>
          <w:sz w:val="28"/>
          <w:szCs w:val="28"/>
        </w:rPr>
        <w:t>15</w:t>
      </w:r>
      <w:r>
        <w:rPr>
          <w:rFonts w:ascii="仿宋" w:hAnsi="仿宋" w:eastAsia="仿宋" w:cs="仿宋"/>
          <w:spacing w:val="-52"/>
          <w:sz w:val="28"/>
          <w:szCs w:val="28"/>
        </w:rPr>
        <w:t xml:space="preserve"> </w:t>
      </w:r>
      <w:r>
        <w:rPr>
          <w:rFonts w:ascii="仿宋" w:hAnsi="仿宋" w:eastAsia="仿宋" w:cs="仿宋"/>
          <w:spacing w:val="-6"/>
          <w:sz w:val="28"/>
          <w:szCs w:val="28"/>
        </w:rPr>
        <w:t>天开始休假的，</w:t>
      </w:r>
      <w:r>
        <w:rPr>
          <w:rFonts w:ascii="仿宋" w:hAnsi="仿宋" w:eastAsia="仿宋" w:cs="仿宋"/>
          <w:sz w:val="28"/>
          <w:szCs w:val="28"/>
        </w:rPr>
        <w:t xml:space="preserve"> </w:t>
      </w:r>
      <w:r>
        <w:rPr>
          <w:rFonts w:ascii="仿宋" w:hAnsi="仿宋" w:eastAsia="仿宋" w:cs="仿宋"/>
          <w:spacing w:val="-7"/>
          <w:sz w:val="28"/>
          <w:szCs w:val="28"/>
        </w:rPr>
        <w:t>产前</w:t>
      </w:r>
      <w:r>
        <w:rPr>
          <w:rFonts w:ascii="仿宋" w:hAnsi="仿宋" w:eastAsia="仿宋" w:cs="仿宋"/>
          <w:spacing w:val="-35"/>
          <w:sz w:val="28"/>
          <w:szCs w:val="28"/>
        </w:rPr>
        <w:t xml:space="preserve"> </w:t>
      </w:r>
      <w:r>
        <w:rPr>
          <w:rFonts w:ascii="仿宋" w:hAnsi="仿宋" w:eastAsia="仿宋" w:cs="仿宋"/>
          <w:spacing w:val="-7"/>
          <w:sz w:val="28"/>
          <w:szCs w:val="28"/>
        </w:rPr>
        <w:t>15</w:t>
      </w:r>
      <w:r>
        <w:rPr>
          <w:rFonts w:ascii="仿宋" w:hAnsi="仿宋" w:eastAsia="仿宋" w:cs="仿宋"/>
          <w:spacing w:val="-52"/>
          <w:sz w:val="28"/>
          <w:szCs w:val="28"/>
        </w:rPr>
        <w:t xml:space="preserve"> </w:t>
      </w:r>
      <w:r>
        <w:rPr>
          <w:rFonts w:ascii="仿宋" w:hAnsi="仿宋" w:eastAsia="仿宋" w:cs="仿宋"/>
          <w:spacing w:val="-7"/>
          <w:sz w:val="28"/>
          <w:szCs w:val="28"/>
        </w:rPr>
        <w:t>天前的休假按病假处理，晚于产前</w:t>
      </w:r>
      <w:r>
        <w:rPr>
          <w:rFonts w:ascii="仿宋" w:hAnsi="仿宋" w:eastAsia="仿宋" w:cs="仿宋"/>
          <w:spacing w:val="-40"/>
          <w:sz w:val="28"/>
          <w:szCs w:val="28"/>
        </w:rPr>
        <w:t xml:space="preserve"> </w:t>
      </w:r>
      <w:r>
        <w:rPr>
          <w:rFonts w:ascii="仿宋" w:hAnsi="仿宋" w:eastAsia="仿宋" w:cs="仿宋"/>
          <w:spacing w:val="-7"/>
          <w:sz w:val="28"/>
          <w:szCs w:val="28"/>
        </w:rPr>
        <w:t>15</w:t>
      </w:r>
      <w:r>
        <w:rPr>
          <w:rFonts w:ascii="仿宋" w:hAnsi="仿宋" w:eastAsia="仿宋" w:cs="仿宋"/>
          <w:spacing w:val="-52"/>
          <w:sz w:val="28"/>
          <w:szCs w:val="28"/>
        </w:rPr>
        <w:t xml:space="preserve"> </w:t>
      </w:r>
      <w:r>
        <w:rPr>
          <w:rFonts w:ascii="仿宋" w:hAnsi="仿宋" w:eastAsia="仿宋" w:cs="仿宋"/>
          <w:spacing w:val="-7"/>
          <w:sz w:val="28"/>
          <w:szCs w:val="28"/>
        </w:rPr>
        <w:t>天开始休假的，产假从</w:t>
      </w:r>
      <w:r>
        <w:rPr>
          <w:rFonts w:ascii="仿宋" w:hAnsi="仿宋" w:eastAsia="仿宋" w:cs="仿宋"/>
          <w:sz w:val="28"/>
          <w:szCs w:val="28"/>
        </w:rPr>
        <w:t xml:space="preserve"> </w:t>
      </w:r>
      <w:r>
        <w:rPr>
          <w:rFonts w:ascii="仿宋" w:hAnsi="仿宋" w:eastAsia="仿宋" w:cs="仿宋"/>
          <w:spacing w:val="-3"/>
          <w:sz w:val="28"/>
          <w:szCs w:val="28"/>
        </w:rPr>
        <w:t>实际休假之日起计算。</w:t>
      </w:r>
    </w:p>
    <w:p w14:paraId="19A77CA6">
      <w:pPr>
        <w:spacing w:before="46" w:line="221" w:lineRule="auto"/>
        <w:ind w:left="603"/>
        <w:rPr>
          <w:rFonts w:ascii="仿宋" w:hAnsi="仿宋" w:eastAsia="仿宋" w:cs="仿宋"/>
          <w:sz w:val="28"/>
          <w:szCs w:val="28"/>
        </w:rPr>
      </w:pPr>
      <w:r>
        <w:rPr>
          <w:rFonts w:ascii="仿宋" w:hAnsi="仿宋" w:eastAsia="仿宋" w:cs="仿宋"/>
          <w:b/>
          <w:bCs/>
          <w:spacing w:val="-8"/>
          <w:sz w:val="28"/>
          <w:szCs w:val="28"/>
        </w:rPr>
        <w:t>第一百一十六条</w:t>
      </w:r>
      <w:r>
        <w:rPr>
          <w:rFonts w:ascii="仿宋" w:hAnsi="仿宋" w:eastAsia="仿宋" w:cs="仿宋"/>
          <w:spacing w:val="31"/>
          <w:sz w:val="28"/>
          <w:szCs w:val="28"/>
        </w:rPr>
        <w:t xml:space="preserve"> </w:t>
      </w:r>
      <w:r>
        <w:rPr>
          <w:rFonts w:ascii="仿宋" w:hAnsi="仿宋" w:eastAsia="仿宋" w:cs="仿宋"/>
          <w:b/>
          <w:bCs/>
          <w:spacing w:val="-8"/>
          <w:sz w:val="28"/>
          <w:szCs w:val="28"/>
        </w:rPr>
        <w:t>哺乳假</w:t>
      </w:r>
    </w:p>
    <w:p w14:paraId="6F966B09">
      <w:pPr>
        <w:spacing w:before="225" w:line="354" w:lineRule="auto"/>
        <w:ind w:left="44" w:right="101" w:firstLine="549"/>
        <w:rPr>
          <w:rFonts w:ascii="仿宋" w:hAnsi="仿宋" w:eastAsia="仿宋" w:cs="仿宋"/>
          <w:sz w:val="28"/>
          <w:szCs w:val="28"/>
        </w:rPr>
      </w:pPr>
      <w:r>
        <w:rPr>
          <w:rFonts w:ascii="仿宋" w:hAnsi="仿宋" w:eastAsia="仿宋" w:cs="仿宋"/>
          <w:spacing w:val="-5"/>
          <w:sz w:val="28"/>
          <w:szCs w:val="28"/>
        </w:rPr>
        <w:t>如果基金会员工的孩子小于</w:t>
      </w:r>
      <w:r>
        <w:rPr>
          <w:rFonts w:ascii="仿宋" w:hAnsi="仿宋" w:eastAsia="仿宋" w:cs="仿宋"/>
          <w:spacing w:val="-58"/>
          <w:sz w:val="28"/>
          <w:szCs w:val="28"/>
        </w:rPr>
        <w:t xml:space="preserve"> </w:t>
      </w:r>
      <w:r>
        <w:rPr>
          <w:rFonts w:ascii="仿宋" w:hAnsi="仿宋" w:eastAsia="仿宋" w:cs="仿宋"/>
          <w:spacing w:val="-5"/>
          <w:sz w:val="28"/>
          <w:szCs w:val="28"/>
        </w:rPr>
        <w:t>6</w:t>
      </w:r>
      <w:r>
        <w:rPr>
          <w:rFonts w:ascii="仿宋" w:hAnsi="仿宋" w:eastAsia="仿宋" w:cs="仿宋"/>
          <w:spacing w:val="-50"/>
          <w:sz w:val="28"/>
          <w:szCs w:val="28"/>
        </w:rPr>
        <w:t xml:space="preserve"> </w:t>
      </w:r>
      <w:r>
        <w:rPr>
          <w:rFonts w:ascii="仿宋" w:hAnsi="仿宋" w:eastAsia="仿宋" w:cs="仿宋"/>
          <w:spacing w:val="-5"/>
          <w:sz w:val="28"/>
          <w:szCs w:val="28"/>
        </w:rPr>
        <w:t>个月，其母亲有权</w:t>
      </w:r>
      <w:r>
        <w:rPr>
          <w:rFonts w:ascii="仿宋" w:hAnsi="仿宋" w:eastAsia="仿宋" w:cs="仿宋"/>
          <w:spacing w:val="-6"/>
          <w:sz w:val="28"/>
          <w:szCs w:val="28"/>
        </w:rPr>
        <w:t>享受每天每个孩</w:t>
      </w:r>
      <w:r>
        <w:rPr>
          <w:rFonts w:ascii="仿宋" w:hAnsi="仿宋" w:eastAsia="仿宋" w:cs="仿宋"/>
          <w:sz w:val="28"/>
          <w:szCs w:val="28"/>
        </w:rPr>
        <w:t xml:space="preserve"> </w:t>
      </w:r>
      <w:r>
        <w:rPr>
          <w:rFonts w:ascii="仿宋" w:hAnsi="仿宋" w:eastAsia="仿宋" w:cs="仿宋"/>
          <w:spacing w:val="-4"/>
          <w:sz w:val="28"/>
          <w:szCs w:val="28"/>
        </w:rPr>
        <w:t>子一个小时的哺乳假。</w:t>
      </w:r>
    </w:p>
    <w:p w14:paraId="255F868A">
      <w:pPr>
        <w:spacing w:before="46" w:line="221" w:lineRule="auto"/>
        <w:ind w:left="603"/>
        <w:rPr>
          <w:rFonts w:ascii="仿宋" w:hAnsi="仿宋" w:eastAsia="仿宋" w:cs="仿宋"/>
          <w:sz w:val="28"/>
          <w:szCs w:val="28"/>
        </w:rPr>
      </w:pPr>
      <w:r>
        <w:rPr>
          <w:rFonts w:ascii="仿宋" w:hAnsi="仿宋" w:eastAsia="仿宋" w:cs="仿宋"/>
          <w:b/>
          <w:bCs/>
          <w:spacing w:val="-5"/>
          <w:sz w:val="28"/>
          <w:szCs w:val="28"/>
        </w:rPr>
        <w:t>第一百一十七条</w:t>
      </w:r>
      <w:r>
        <w:rPr>
          <w:rFonts w:ascii="仿宋" w:hAnsi="仿宋" w:eastAsia="仿宋" w:cs="仿宋"/>
          <w:spacing w:val="-5"/>
          <w:sz w:val="28"/>
          <w:szCs w:val="28"/>
        </w:rPr>
        <w:t xml:space="preserve"> </w:t>
      </w:r>
      <w:r>
        <w:rPr>
          <w:rFonts w:ascii="仿宋" w:hAnsi="仿宋" w:eastAsia="仿宋" w:cs="仿宋"/>
          <w:b/>
          <w:bCs/>
          <w:spacing w:val="-5"/>
          <w:sz w:val="28"/>
          <w:szCs w:val="28"/>
        </w:rPr>
        <w:t>护理假</w:t>
      </w:r>
    </w:p>
    <w:p w14:paraId="107226B4">
      <w:pPr>
        <w:spacing w:before="224" w:line="220" w:lineRule="auto"/>
        <w:jc w:val="right"/>
        <w:rPr>
          <w:rFonts w:ascii="仿宋" w:hAnsi="仿宋" w:eastAsia="仿宋" w:cs="仿宋"/>
          <w:sz w:val="28"/>
          <w:szCs w:val="28"/>
        </w:rPr>
      </w:pPr>
      <w:r>
        <w:rPr>
          <w:rFonts w:ascii="仿宋" w:hAnsi="仿宋" w:eastAsia="仿宋" w:cs="仿宋"/>
          <w:spacing w:val="-7"/>
          <w:sz w:val="28"/>
          <w:szCs w:val="28"/>
        </w:rPr>
        <w:t>基金会男员工在其配偶生育期间，可享受护理假即陪产假</w:t>
      </w:r>
      <w:r>
        <w:rPr>
          <w:rFonts w:ascii="仿宋" w:hAnsi="仿宋" w:eastAsia="仿宋" w:cs="仿宋"/>
          <w:spacing w:val="-36"/>
          <w:sz w:val="28"/>
          <w:szCs w:val="28"/>
        </w:rPr>
        <w:t xml:space="preserve"> </w:t>
      </w:r>
      <w:r>
        <w:rPr>
          <w:rFonts w:ascii="仿宋" w:hAnsi="仿宋" w:eastAsia="仿宋" w:cs="仿宋"/>
          <w:spacing w:val="-7"/>
          <w:sz w:val="28"/>
          <w:szCs w:val="28"/>
        </w:rPr>
        <w:t>15</w:t>
      </w:r>
      <w:r>
        <w:rPr>
          <w:rFonts w:ascii="仿宋" w:hAnsi="仿宋" w:eastAsia="仿宋" w:cs="仿宋"/>
          <w:spacing w:val="-52"/>
          <w:sz w:val="28"/>
          <w:szCs w:val="28"/>
        </w:rPr>
        <w:t xml:space="preserve"> </w:t>
      </w:r>
      <w:r>
        <w:rPr>
          <w:rFonts w:ascii="仿宋" w:hAnsi="仿宋" w:eastAsia="仿宋" w:cs="仿宋"/>
          <w:spacing w:val="-7"/>
          <w:sz w:val="28"/>
          <w:szCs w:val="28"/>
        </w:rPr>
        <w:t>天。</w:t>
      </w:r>
    </w:p>
    <w:p w14:paraId="6705F128">
      <w:pPr>
        <w:spacing w:before="226" w:line="222" w:lineRule="auto"/>
        <w:ind w:left="603"/>
        <w:rPr>
          <w:rFonts w:ascii="仿宋" w:hAnsi="仿宋" w:eastAsia="仿宋" w:cs="仿宋"/>
          <w:sz w:val="28"/>
          <w:szCs w:val="28"/>
        </w:rPr>
      </w:pPr>
      <w:r>
        <w:rPr>
          <w:rFonts w:ascii="仿宋" w:hAnsi="仿宋" w:eastAsia="仿宋" w:cs="仿宋"/>
          <w:b/>
          <w:bCs/>
          <w:spacing w:val="-5"/>
          <w:sz w:val="28"/>
          <w:szCs w:val="28"/>
        </w:rPr>
        <w:t>第一百一十八条</w:t>
      </w:r>
      <w:r>
        <w:rPr>
          <w:rFonts w:ascii="仿宋" w:hAnsi="仿宋" w:eastAsia="仿宋" w:cs="仿宋"/>
          <w:spacing w:val="-5"/>
          <w:sz w:val="28"/>
          <w:szCs w:val="28"/>
        </w:rPr>
        <w:t xml:space="preserve"> </w:t>
      </w:r>
      <w:r>
        <w:rPr>
          <w:rFonts w:ascii="仿宋" w:hAnsi="仿宋" w:eastAsia="仿宋" w:cs="仿宋"/>
          <w:b/>
          <w:bCs/>
          <w:spacing w:val="-5"/>
          <w:sz w:val="28"/>
          <w:szCs w:val="28"/>
        </w:rPr>
        <w:t>病假</w:t>
      </w:r>
    </w:p>
    <w:p w14:paraId="58DE9FF9">
      <w:pPr>
        <w:spacing w:before="225" w:line="353" w:lineRule="auto"/>
        <w:ind w:left="33" w:right="102" w:firstLine="559"/>
        <w:rPr>
          <w:rFonts w:ascii="仿宋" w:hAnsi="仿宋" w:eastAsia="仿宋" w:cs="仿宋"/>
          <w:sz w:val="28"/>
          <w:szCs w:val="28"/>
        </w:rPr>
      </w:pPr>
      <w:r>
        <w:rPr>
          <w:rFonts w:ascii="仿宋" w:hAnsi="仿宋" w:eastAsia="仿宋" w:cs="仿宋"/>
          <w:spacing w:val="-6"/>
          <w:sz w:val="28"/>
          <w:szCs w:val="28"/>
        </w:rPr>
        <w:t>病假一天以上（24</w:t>
      </w:r>
      <w:r>
        <w:rPr>
          <w:rFonts w:ascii="仿宋" w:hAnsi="仿宋" w:eastAsia="仿宋" w:cs="仿宋"/>
          <w:spacing w:val="-39"/>
          <w:sz w:val="28"/>
          <w:szCs w:val="28"/>
        </w:rPr>
        <w:t xml:space="preserve"> </w:t>
      </w:r>
      <w:r>
        <w:rPr>
          <w:rFonts w:ascii="仿宋" w:hAnsi="仿宋" w:eastAsia="仿宋" w:cs="仿宋"/>
          <w:spacing w:val="-6"/>
          <w:sz w:val="28"/>
          <w:szCs w:val="28"/>
        </w:rPr>
        <w:t>小时）必须有正式的医院证明；如果病假在</w:t>
      </w:r>
      <w:r>
        <w:rPr>
          <w:rFonts w:ascii="仿宋" w:hAnsi="仿宋" w:eastAsia="仿宋" w:cs="仿宋"/>
          <w:spacing w:val="-42"/>
          <w:sz w:val="28"/>
          <w:szCs w:val="28"/>
        </w:rPr>
        <w:t xml:space="preserve"> </w:t>
      </w:r>
      <w:r>
        <w:rPr>
          <w:rFonts w:ascii="仿宋" w:hAnsi="仿宋" w:eastAsia="仿宋" w:cs="仿宋"/>
          <w:spacing w:val="-6"/>
          <w:sz w:val="28"/>
          <w:szCs w:val="28"/>
        </w:rPr>
        <w:t>1</w:t>
      </w:r>
      <w:r>
        <w:rPr>
          <w:rFonts w:ascii="仿宋" w:hAnsi="仿宋" w:eastAsia="仿宋" w:cs="仿宋"/>
          <w:sz w:val="28"/>
          <w:szCs w:val="28"/>
        </w:rPr>
        <w:t xml:space="preserve"> </w:t>
      </w:r>
      <w:r>
        <w:rPr>
          <w:rFonts w:ascii="仿宋" w:hAnsi="仿宋" w:eastAsia="仿宋" w:cs="仿宋"/>
          <w:spacing w:val="-3"/>
          <w:sz w:val="28"/>
          <w:szCs w:val="28"/>
        </w:rPr>
        <w:t>个月内超过</w:t>
      </w:r>
      <w:r>
        <w:rPr>
          <w:rFonts w:ascii="仿宋" w:hAnsi="仿宋" w:eastAsia="仿宋" w:cs="仿宋"/>
          <w:spacing w:val="-54"/>
          <w:sz w:val="28"/>
          <w:szCs w:val="28"/>
        </w:rPr>
        <w:t xml:space="preserve"> </w:t>
      </w:r>
      <w:r>
        <w:rPr>
          <w:rFonts w:ascii="仿宋" w:hAnsi="仿宋" w:eastAsia="仿宋" w:cs="仿宋"/>
          <w:spacing w:val="-3"/>
          <w:sz w:val="28"/>
          <w:szCs w:val="28"/>
        </w:rPr>
        <w:t>2</w:t>
      </w:r>
      <w:r>
        <w:rPr>
          <w:rFonts w:ascii="仿宋" w:hAnsi="仿宋" w:eastAsia="仿宋" w:cs="仿宋"/>
          <w:spacing w:val="-50"/>
          <w:sz w:val="28"/>
          <w:szCs w:val="28"/>
        </w:rPr>
        <w:t xml:space="preserve"> </w:t>
      </w:r>
      <w:r>
        <w:rPr>
          <w:rFonts w:ascii="仿宋" w:hAnsi="仿宋" w:eastAsia="仿宋" w:cs="仿宋"/>
          <w:spacing w:val="-3"/>
          <w:sz w:val="28"/>
          <w:szCs w:val="28"/>
        </w:rPr>
        <w:t>天，根据下列情况扣除工资：</w:t>
      </w:r>
    </w:p>
    <w:p w14:paraId="20AE05EA">
      <w:pPr>
        <w:spacing w:before="49" w:line="221" w:lineRule="auto"/>
        <w:ind w:left="585"/>
        <w:rPr>
          <w:rFonts w:ascii="仿宋" w:hAnsi="仿宋" w:eastAsia="仿宋" w:cs="仿宋"/>
          <w:sz w:val="28"/>
          <w:szCs w:val="28"/>
        </w:rPr>
      </w:pPr>
      <w:r>
        <w:rPr>
          <w:rFonts w:ascii="仿宋" w:hAnsi="仿宋" w:eastAsia="仿宋" w:cs="仿宋"/>
          <w:spacing w:val="-3"/>
          <w:sz w:val="28"/>
          <w:szCs w:val="28"/>
        </w:rPr>
        <w:t>0-2 个工作日：</w:t>
      </w:r>
      <w:r>
        <w:rPr>
          <w:rFonts w:ascii="仿宋" w:hAnsi="仿宋" w:eastAsia="仿宋" w:cs="仿宋"/>
          <w:spacing w:val="3"/>
          <w:sz w:val="28"/>
          <w:szCs w:val="28"/>
        </w:rPr>
        <w:t xml:space="preserve">        </w:t>
      </w:r>
      <w:r>
        <w:rPr>
          <w:rFonts w:ascii="仿宋" w:hAnsi="仿宋" w:eastAsia="仿宋" w:cs="仿宋"/>
          <w:spacing w:val="-3"/>
          <w:sz w:val="28"/>
          <w:szCs w:val="28"/>
        </w:rPr>
        <w:t>不扣工资</w:t>
      </w:r>
    </w:p>
    <w:p w14:paraId="6A142FBF">
      <w:pPr>
        <w:spacing w:before="224" w:line="221" w:lineRule="auto"/>
        <w:ind w:left="588"/>
        <w:rPr>
          <w:rFonts w:ascii="仿宋" w:hAnsi="仿宋" w:eastAsia="仿宋" w:cs="仿宋"/>
          <w:sz w:val="28"/>
          <w:szCs w:val="28"/>
        </w:rPr>
      </w:pPr>
      <w:r>
        <w:rPr>
          <w:rFonts w:ascii="仿宋" w:hAnsi="仿宋" w:eastAsia="仿宋" w:cs="仿宋"/>
          <w:spacing w:val="-8"/>
          <w:sz w:val="28"/>
          <w:szCs w:val="28"/>
        </w:rPr>
        <w:t>3-4 个工作</w:t>
      </w:r>
      <w:r>
        <w:rPr>
          <w:rFonts w:ascii="仿宋" w:hAnsi="仿宋" w:eastAsia="仿宋" w:cs="仿宋"/>
          <w:spacing w:val="-62"/>
          <w:sz w:val="28"/>
          <w:szCs w:val="28"/>
        </w:rPr>
        <w:t xml:space="preserve"> </w:t>
      </w:r>
      <w:r>
        <w:rPr>
          <w:rFonts w:ascii="仿宋" w:hAnsi="仿宋" w:eastAsia="仿宋" w:cs="仿宋"/>
          <w:spacing w:val="-8"/>
          <w:sz w:val="28"/>
          <w:szCs w:val="28"/>
        </w:rPr>
        <w:t>日：</w:t>
      </w:r>
      <w:r>
        <w:rPr>
          <w:rFonts w:ascii="仿宋" w:hAnsi="仿宋" w:eastAsia="仿宋" w:cs="仿宋"/>
          <w:spacing w:val="2"/>
          <w:sz w:val="28"/>
          <w:szCs w:val="28"/>
        </w:rPr>
        <w:t xml:space="preserve">        </w:t>
      </w:r>
      <w:r>
        <w:rPr>
          <w:rFonts w:ascii="仿宋" w:hAnsi="仿宋" w:eastAsia="仿宋" w:cs="仿宋"/>
          <w:spacing w:val="-8"/>
          <w:sz w:val="28"/>
          <w:szCs w:val="28"/>
        </w:rPr>
        <w:t>扣除</w:t>
      </w:r>
      <w:r>
        <w:rPr>
          <w:rFonts w:ascii="仿宋" w:hAnsi="仿宋" w:eastAsia="仿宋" w:cs="仿宋"/>
          <w:spacing w:val="-36"/>
          <w:sz w:val="28"/>
          <w:szCs w:val="28"/>
        </w:rPr>
        <w:t xml:space="preserve"> </w:t>
      </w:r>
      <w:r>
        <w:rPr>
          <w:rFonts w:ascii="仿宋" w:hAnsi="仿宋" w:eastAsia="仿宋" w:cs="仿宋"/>
          <w:spacing w:val="-8"/>
          <w:sz w:val="28"/>
          <w:szCs w:val="28"/>
        </w:rPr>
        <w:t>10%的月工资</w:t>
      </w:r>
    </w:p>
    <w:p w14:paraId="26B5E5C2">
      <w:pPr>
        <w:spacing w:before="224" w:line="221" w:lineRule="auto"/>
        <w:ind w:left="588"/>
        <w:rPr>
          <w:rFonts w:ascii="仿宋" w:hAnsi="仿宋" w:eastAsia="仿宋" w:cs="仿宋"/>
          <w:sz w:val="28"/>
          <w:szCs w:val="28"/>
        </w:rPr>
      </w:pPr>
      <w:r>
        <w:rPr>
          <w:rFonts w:ascii="仿宋" w:hAnsi="仿宋" w:eastAsia="仿宋" w:cs="仿宋"/>
          <w:spacing w:val="-3"/>
          <w:sz w:val="28"/>
          <w:szCs w:val="28"/>
        </w:rPr>
        <w:t>5-6 个工作日：</w:t>
      </w:r>
      <w:r>
        <w:rPr>
          <w:rFonts w:ascii="仿宋" w:hAnsi="仿宋" w:eastAsia="仿宋" w:cs="仿宋"/>
          <w:spacing w:val="3"/>
          <w:sz w:val="28"/>
          <w:szCs w:val="28"/>
        </w:rPr>
        <w:t xml:space="preserve">        </w:t>
      </w:r>
      <w:r>
        <w:rPr>
          <w:rFonts w:ascii="仿宋" w:hAnsi="仿宋" w:eastAsia="仿宋" w:cs="仿宋"/>
          <w:spacing w:val="-3"/>
          <w:sz w:val="28"/>
          <w:szCs w:val="28"/>
        </w:rPr>
        <w:t>扣除</w:t>
      </w:r>
      <w:r>
        <w:rPr>
          <w:rFonts w:ascii="仿宋" w:hAnsi="仿宋" w:eastAsia="仿宋" w:cs="仿宋"/>
          <w:spacing w:val="-56"/>
          <w:sz w:val="28"/>
          <w:szCs w:val="28"/>
        </w:rPr>
        <w:t xml:space="preserve"> </w:t>
      </w:r>
      <w:r>
        <w:rPr>
          <w:rFonts w:ascii="仿宋" w:hAnsi="仿宋" w:eastAsia="仿宋" w:cs="仿宋"/>
          <w:spacing w:val="-3"/>
          <w:sz w:val="28"/>
          <w:szCs w:val="28"/>
        </w:rPr>
        <w:t>20%的月工资</w:t>
      </w:r>
    </w:p>
    <w:p w14:paraId="3B18498A">
      <w:pPr>
        <w:spacing w:before="227" w:line="221" w:lineRule="auto"/>
        <w:ind w:left="589"/>
        <w:rPr>
          <w:rFonts w:ascii="仿宋" w:hAnsi="仿宋" w:eastAsia="仿宋" w:cs="仿宋"/>
          <w:sz w:val="28"/>
          <w:szCs w:val="28"/>
        </w:rPr>
      </w:pPr>
      <w:r>
        <w:rPr>
          <w:rFonts w:ascii="仿宋" w:hAnsi="仿宋" w:eastAsia="仿宋" w:cs="仿宋"/>
          <w:spacing w:val="-3"/>
          <w:sz w:val="28"/>
          <w:szCs w:val="28"/>
        </w:rPr>
        <w:t>7-8 个工作日：</w:t>
      </w:r>
      <w:r>
        <w:rPr>
          <w:rFonts w:ascii="仿宋" w:hAnsi="仿宋" w:eastAsia="仿宋" w:cs="仿宋"/>
          <w:spacing w:val="3"/>
          <w:sz w:val="28"/>
          <w:szCs w:val="28"/>
        </w:rPr>
        <w:t xml:space="preserve">        </w:t>
      </w:r>
      <w:r>
        <w:rPr>
          <w:rFonts w:ascii="仿宋" w:hAnsi="仿宋" w:eastAsia="仿宋" w:cs="仿宋"/>
          <w:spacing w:val="-3"/>
          <w:sz w:val="28"/>
          <w:szCs w:val="28"/>
        </w:rPr>
        <w:t>扣除</w:t>
      </w:r>
      <w:r>
        <w:rPr>
          <w:rFonts w:ascii="仿宋" w:hAnsi="仿宋" w:eastAsia="仿宋" w:cs="仿宋"/>
          <w:spacing w:val="-57"/>
          <w:sz w:val="28"/>
          <w:szCs w:val="28"/>
        </w:rPr>
        <w:t xml:space="preserve"> </w:t>
      </w:r>
      <w:r>
        <w:rPr>
          <w:rFonts w:ascii="仿宋" w:hAnsi="仿宋" w:eastAsia="仿宋" w:cs="仿宋"/>
          <w:spacing w:val="-3"/>
          <w:sz w:val="28"/>
          <w:szCs w:val="28"/>
        </w:rPr>
        <w:t>30%的月工资</w:t>
      </w:r>
    </w:p>
    <w:p w14:paraId="6FE0F70D">
      <w:pPr>
        <w:spacing w:before="224" w:line="221" w:lineRule="auto"/>
        <w:ind w:left="584"/>
        <w:rPr>
          <w:rFonts w:ascii="仿宋" w:hAnsi="仿宋" w:eastAsia="仿宋" w:cs="仿宋"/>
          <w:sz w:val="28"/>
          <w:szCs w:val="28"/>
        </w:rPr>
      </w:pPr>
      <w:r>
        <w:rPr>
          <w:rFonts w:ascii="仿宋" w:hAnsi="仿宋" w:eastAsia="仿宋" w:cs="仿宋"/>
          <w:spacing w:val="-7"/>
          <w:sz w:val="28"/>
          <w:szCs w:val="28"/>
        </w:rPr>
        <w:t>9-10 个工作</w:t>
      </w:r>
      <w:r>
        <w:rPr>
          <w:rFonts w:ascii="仿宋" w:hAnsi="仿宋" w:eastAsia="仿宋" w:cs="仿宋"/>
          <w:spacing w:val="-55"/>
          <w:sz w:val="28"/>
          <w:szCs w:val="28"/>
        </w:rPr>
        <w:t xml:space="preserve"> </w:t>
      </w:r>
      <w:r>
        <w:rPr>
          <w:rFonts w:ascii="仿宋" w:hAnsi="仿宋" w:eastAsia="仿宋" w:cs="仿宋"/>
          <w:spacing w:val="-7"/>
          <w:sz w:val="28"/>
          <w:szCs w:val="28"/>
        </w:rPr>
        <w:t>日：</w:t>
      </w:r>
      <w:r>
        <w:rPr>
          <w:rFonts w:ascii="仿宋" w:hAnsi="仿宋" w:eastAsia="仿宋" w:cs="仿宋"/>
          <w:spacing w:val="3"/>
          <w:sz w:val="28"/>
          <w:szCs w:val="28"/>
        </w:rPr>
        <w:t xml:space="preserve">       </w:t>
      </w:r>
      <w:r>
        <w:rPr>
          <w:rFonts w:ascii="仿宋" w:hAnsi="仿宋" w:eastAsia="仿宋" w:cs="仿宋"/>
          <w:spacing w:val="-7"/>
          <w:sz w:val="28"/>
          <w:szCs w:val="28"/>
        </w:rPr>
        <w:t>扣除</w:t>
      </w:r>
      <w:r>
        <w:rPr>
          <w:rFonts w:ascii="仿宋" w:hAnsi="仿宋" w:eastAsia="仿宋" w:cs="仿宋"/>
          <w:spacing w:val="-54"/>
          <w:sz w:val="28"/>
          <w:szCs w:val="28"/>
        </w:rPr>
        <w:t xml:space="preserve"> </w:t>
      </w:r>
      <w:r>
        <w:rPr>
          <w:rFonts w:ascii="仿宋" w:hAnsi="仿宋" w:eastAsia="仿宋" w:cs="仿宋"/>
          <w:spacing w:val="-7"/>
          <w:sz w:val="28"/>
          <w:szCs w:val="28"/>
        </w:rPr>
        <w:t>50%的月工资</w:t>
      </w:r>
    </w:p>
    <w:p w14:paraId="6579E427">
      <w:pPr>
        <w:spacing w:before="224" w:line="221" w:lineRule="auto"/>
        <w:ind w:left="603"/>
        <w:rPr>
          <w:rFonts w:ascii="仿宋" w:hAnsi="仿宋" w:eastAsia="仿宋" w:cs="仿宋"/>
          <w:sz w:val="28"/>
          <w:szCs w:val="28"/>
        </w:rPr>
      </w:pPr>
      <w:r>
        <w:rPr>
          <w:rFonts w:ascii="仿宋" w:hAnsi="仿宋" w:eastAsia="仿宋" w:cs="仿宋"/>
          <w:b/>
          <w:bCs/>
          <w:spacing w:val="-5"/>
          <w:sz w:val="28"/>
          <w:szCs w:val="28"/>
        </w:rPr>
        <w:t>第一百一十九条</w:t>
      </w:r>
      <w:r>
        <w:rPr>
          <w:rFonts w:ascii="仿宋" w:hAnsi="仿宋" w:eastAsia="仿宋" w:cs="仿宋"/>
          <w:spacing w:val="-5"/>
          <w:sz w:val="28"/>
          <w:szCs w:val="28"/>
        </w:rPr>
        <w:t xml:space="preserve"> </w:t>
      </w:r>
      <w:r>
        <w:rPr>
          <w:rFonts w:ascii="仿宋" w:hAnsi="仿宋" w:eastAsia="仿宋" w:cs="仿宋"/>
          <w:b/>
          <w:bCs/>
          <w:spacing w:val="-5"/>
          <w:sz w:val="28"/>
          <w:szCs w:val="28"/>
        </w:rPr>
        <w:t>事假</w:t>
      </w:r>
    </w:p>
    <w:p w14:paraId="1828BBC2">
      <w:pPr>
        <w:spacing w:before="227" w:line="358" w:lineRule="auto"/>
        <w:ind w:left="44" w:right="101" w:firstLine="547"/>
        <w:jc w:val="both"/>
        <w:rPr>
          <w:rFonts w:ascii="仿宋" w:hAnsi="仿宋" w:eastAsia="仿宋" w:cs="仿宋"/>
          <w:sz w:val="28"/>
          <w:szCs w:val="28"/>
        </w:rPr>
      </w:pPr>
      <w:r>
        <w:rPr>
          <w:rFonts w:ascii="仿宋" w:hAnsi="仿宋" w:eastAsia="仿宋" w:cs="仿宋"/>
          <w:spacing w:val="-1"/>
          <w:sz w:val="28"/>
          <w:szCs w:val="28"/>
        </w:rPr>
        <w:t>基金会员工每年有</w:t>
      </w:r>
      <w:r>
        <w:rPr>
          <w:rFonts w:ascii="仿宋" w:hAnsi="仿宋" w:eastAsia="仿宋" w:cs="仿宋"/>
          <w:spacing w:val="-56"/>
          <w:sz w:val="28"/>
          <w:szCs w:val="28"/>
        </w:rPr>
        <w:t xml:space="preserve"> </w:t>
      </w:r>
      <w:r>
        <w:rPr>
          <w:rFonts w:ascii="仿宋" w:hAnsi="仿宋" w:eastAsia="仿宋" w:cs="仿宋"/>
          <w:spacing w:val="-1"/>
          <w:sz w:val="28"/>
          <w:szCs w:val="28"/>
        </w:rPr>
        <w:t>2</w:t>
      </w:r>
      <w:r>
        <w:rPr>
          <w:rFonts w:ascii="仿宋" w:hAnsi="仿宋" w:eastAsia="仿宋" w:cs="仿宋"/>
          <w:spacing w:val="-48"/>
          <w:sz w:val="28"/>
          <w:szCs w:val="28"/>
        </w:rPr>
        <w:t xml:space="preserve"> </w:t>
      </w:r>
      <w:r>
        <w:rPr>
          <w:rFonts w:ascii="仿宋" w:hAnsi="仿宋" w:eastAsia="仿宋" w:cs="仿宋"/>
          <w:spacing w:val="-1"/>
          <w:sz w:val="28"/>
          <w:szCs w:val="28"/>
        </w:rPr>
        <w:t>个工作日的事假（不扣工资</w:t>
      </w:r>
      <w:r>
        <w:rPr>
          <w:rFonts w:ascii="仿宋" w:hAnsi="仿宋" w:eastAsia="仿宋" w:cs="仿宋"/>
          <w:spacing w:val="-59"/>
          <w:sz w:val="28"/>
          <w:szCs w:val="28"/>
        </w:rPr>
        <w:t>）；</w:t>
      </w:r>
      <w:r>
        <w:rPr>
          <w:rFonts w:ascii="仿宋" w:hAnsi="仿宋" w:eastAsia="仿宋" w:cs="仿宋"/>
          <w:spacing w:val="-2"/>
          <w:sz w:val="28"/>
          <w:szCs w:val="28"/>
        </w:rPr>
        <w:t>休事假的理</w:t>
      </w:r>
      <w:r>
        <w:rPr>
          <w:rFonts w:ascii="仿宋" w:hAnsi="仿宋" w:eastAsia="仿宋" w:cs="仿宋"/>
          <w:sz w:val="28"/>
          <w:szCs w:val="28"/>
        </w:rPr>
        <w:t xml:space="preserve"> </w:t>
      </w:r>
      <w:r>
        <w:rPr>
          <w:rFonts w:ascii="仿宋" w:hAnsi="仿宋" w:eastAsia="仿宋" w:cs="仿宋"/>
          <w:spacing w:val="-4"/>
          <w:sz w:val="28"/>
          <w:szCs w:val="28"/>
        </w:rPr>
        <w:t>由包括：家庭事务、与工作无关的培训等等；事假应当在次年</w:t>
      </w:r>
      <w:r>
        <w:rPr>
          <w:rFonts w:ascii="仿宋" w:hAnsi="仿宋" w:eastAsia="仿宋" w:cs="仿宋"/>
          <w:spacing w:val="-52"/>
          <w:sz w:val="28"/>
          <w:szCs w:val="28"/>
        </w:rPr>
        <w:t xml:space="preserve"> </w:t>
      </w:r>
      <w:r>
        <w:rPr>
          <w:rFonts w:ascii="仿宋" w:hAnsi="仿宋" w:eastAsia="仿宋" w:cs="仿宋"/>
          <w:spacing w:val="-4"/>
          <w:sz w:val="28"/>
          <w:szCs w:val="28"/>
        </w:rPr>
        <w:t>3</w:t>
      </w:r>
      <w:r>
        <w:rPr>
          <w:rFonts w:ascii="仿宋" w:hAnsi="仿宋" w:eastAsia="仿宋" w:cs="仿宋"/>
          <w:spacing w:val="-37"/>
          <w:sz w:val="28"/>
          <w:szCs w:val="28"/>
        </w:rPr>
        <w:t xml:space="preserve"> </w:t>
      </w:r>
      <w:r>
        <w:rPr>
          <w:rFonts w:ascii="仿宋" w:hAnsi="仿宋" w:eastAsia="仿宋" w:cs="仿宋"/>
          <w:spacing w:val="-4"/>
          <w:sz w:val="28"/>
          <w:szCs w:val="28"/>
        </w:rPr>
        <w:t>月</w:t>
      </w:r>
      <w:r>
        <w:rPr>
          <w:rFonts w:ascii="仿宋" w:hAnsi="仿宋" w:eastAsia="仿宋" w:cs="仿宋"/>
          <w:spacing w:val="-58"/>
          <w:sz w:val="28"/>
          <w:szCs w:val="28"/>
        </w:rPr>
        <w:t xml:space="preserve"> </w:t>
      </w:r>
      <w:r>
        <w:rPr>
          <w:rFonts w:ascii="仿宋" w:hAnsi="仿宋" w:eastAsia="仿宋" w:cs="仿宋"/>
          <w:spacing w:val="-4"/>
          <w:sz w:val="28"/>
          <w:szCs w:val="28"/>
        </w:rPr>
        <w:t>3</w:t>
      </w:r>
      <w:r>
        <w:rPr>
          <w:rFonts w:ascii="仿宋" w:hAnsi="仿宋" w:eastAsia="仿宋" w:cs="仿宋"/>
          <w:sz w:val="28"/>
          <w:szCs w:val="28"/>
        </w:rPr>
        <w:t xml:space="preserve"> </w:t>
      </w:r>
      <w:r>
        <w:rPr>
          <w:rFonts w:ascii="仿宋" w:hAnsi="仿宋" w:eastAsia="仿宋" w:cs="仿宋"/>
          <w:spacing w:val="-4"/>
          <w:sz w:val="28"/>
          <w:szCs w:val="28"/>
        </w:rPr>
        <w:t>1 日前休完，且最小单位为半天；因个人原因逾期未休的，视为</w:t>
      </w:r>
      <w:r>
        <w:rPr>
          <w:rFonts w:ascii="仿宋" w:hAnsi="仿宋" w:eastAsia="仿宋" w:cs="仿宋"/>
          <w:spacing w:val="-5"/>
          <w:sz w:val="28"/>
          <w:szCs w:val="28"/>
        </w:rPr>
        <w:t>自愿</w:t>
      </w:r>
    </w:p>
    <w:p w14:paraId="1E150A77">
      <w:pPr>
        <w:spacing w:line="358" w:lineRule="auto"/>
        <w:rPr>
          <w:rFonts w:ascii="仿宋" w:hAnsi="仿宋" w:eastAsia="仿宋" w:cs="仿宋"/>
          <w:sz w:val="28"/>
          <w:szCs w:val="28"/>
        </w:rPr>
        <w:sectPr>
          <w:pgSz w:w="11906" w:h="16839"/>
          <w:pgMar w:top="400" w:right="1698" w:bottom="400" w:left="1785" w:header="0" w:footer="850" w:gutter="0"/>
          <w:pgNumType w:fmt="decimal"/>
          <w:cols w:space="720" w:num="1"/>
        </w:sectPr>
      </w:pPr>
    </w:p>
    <w:p w14:paraId="0A79BBE5">
      <w:pPr>
        <w:spacing w:line="287" w:lineRule="auto"/>
        <w:rPr>
          <w:rFonts w:ascii="Arial"/>
          <w:sz w:val="21"/>
        </w:rPr>
      </w:pPr>
    </w:p>
    <w:p w14:paraId="338446BB">
      <w:pPr>
        <w:spacing w:line="288" w:lineRule="auto"/>
        <w:rPr>
          <w:rFonts w:ascii="Arial"/>
          <w:sz w:val="21"/>
        </w:rPr>
      </w:pPr>
    </w:p>
    <w:p w14:paraId="5BD7F26E">
      <w:pPr>
        <w:spacing w:line="288" w:lineRule="auto"/>
        <w:rPr>
          <w:rFonts w:ascii="Arial"/>
          <w:sz w:val="21"/>
        </w:rPr>
      </w:pPr>
    </w:p>
    <w:p w14:paraId="086F9EE8">
      <w:pPr>
        <w:spacing w:line="288" w:lineRule="auto"/>
        <w:rPr>
          <w:rFonts w:ascii="Arial"/>
          <w:sz w:val="21"/>
        </w:rPr>
      </w:pPr>
    </w:p>
    <w:p w14:paraId="3CD1CA44">
      <w:pPr>
        <w:spacing w:before="91" w:line="358" w:lineRule="auto"/>
        <w:ind w:left="32" w:firstLine="1"/>
        <w:jc w:val="both"/>
        <w:rPr>
          <w:rFonts w:ascii="仿宋" w:hAnsi="仿宋" w:eastAsia="仿宋" w:cs="仿宋"/>
          <w:sz w:val="28"/>
          <w:szCs w:val="28"/>
        </w:rPr>
      </w:pPr>
      <w:r>
        <w:rPr>
          <w:rFonts w:ascii="仿宋" w:hAnsi="仿宋" w:eastAsia="仿宋" w:cs="仿宋"/>
          <w:spacing w:val="-11"/>
          <w:sz w:val="28"/>
          <w:szCs w:val="28"/>
        </w:rPr>
        <w:t>放弃，基金会不予补休，亦不折现补偿；事假超过</w:t>
      </w:r>
      <w:r>
        <w:rPr>
          <w:rFonts w:ascii="仿宋" w:hAnsi="仿宋" w:eastAsia="仿宋" w:cs="仿宋"/>
          <w:spacing w:val="-43"/>
          <w:sz w:val="28"/>
          <w:szCs w:val="28"/>
        </w:rPr>
        <w:t xml:space="preserve"> </w:t>
      </w:r>
      <w:r>
        <w:rPr>
          <w:rFonts w:ascii="仿宋" w:hAnsi="仿宋" w:eastAsia="仿宋" w:cs="仿宋"/>
          <w:spacing w:val="-11"/>
          <w:sz w:val="28"/>
          <w:szCs w:val="28"/>
        </w:rPr>
        <w:t>3</w:t>
      </w:r>
      <w:r>
        <w:rPr>
          <w:rFonts w:ascii="仿宋" w:hAnsi="仿宋" w:eastAsia="仿宋" w:cs="仿宋"/>
          <w:spacing w:val="-49"/>
          <w:sz w:val="28"/>
          <w:szCs w:val="28"/>
        </w:rPr>
        <w:t xml:space="preserve"> </w:t>
      </w:r>
      <w:r>
        <w:rPr>
          <w:rFonts w:ascii="仿宋" w:hAnsi="仿宋" w:eastAsia="仿宋" w:cs="仿宋"/>
          <w:spacing w:val="-11"/>
          <w:sz w:val="28"/>
          <w:szCs w:val="28"/>
        </w:rPr>
        <w:t>天的以年假冲抵。</w:t>
      </w:r>
      <w:r>
        <w:rPr>
          <w:rFonts w:ascii="仿宋" w:hAnsi="仿宋" w:eastAsia="仿宋" w:cs="仿宋"/>
          <w:sz w:val="28"/>
          <w:szCs w:val="28"/>
        </w:rPr>
        <w:t xml:space="preserve"> </w:t>
      </w:r>
      <w:r>
        <w:rPr>
          <w:rFonts w:ascii="仿宋" w:hAnsi="仿宋" w:eastAsia="仿宋" w:cs="仿宋"/>
          <w:spacing w:val="1"/>
          <w:sz w:val="28"/>
          <w:szCs w:val="28"/>
        </w:rPr>
        <w:t>入职不满一年的员工计算标准按当年的到岗天数核 算事假时</w:t>
      </w:r>
      <w:r>
        <w:rPr>
          <w:rFonts w:ascii="仿宋" w:hAnsi="仿宋" w:eastAsia="仿宋" w:cs="仿宋"/>
          <w:sz w:val="28"/>
          <w:szCs w:val="28"/>
        </w:rPr>
        <w:t xml:space="preserve">间并四 </w:t>
      </w:r>
      <w:r>
        <w:rPr>
          <w:rFonts w:ascii="仿宋" w:hAnsi="仿宋" w:eastAsia="仿宋" w:cs="仿宋"/>
          <w:spacing w:val="-2"/>
          <w:sz w:val="28"/>
          <w:szCs w:val="28"/>
        </w:rPr>
        <w:t>舍五入精确核算到半天。</w:t>
      </w:r>
    </w:p>
    <w:p w14:paraId="4D4C6A6F">
      <w:pPr>
        <w:spacing w:before="47" w:line="222" w:lineRule="auto"/>
        <w:ind w:left="603"/>
        <w:rPr>
          <w:rFonts w:ascii="仿宋" w:hAnsi="仿宋" w:eastAsia="仿宋" w:cs="仿宋"/>
          <w:sz w:val="28"/>
          <w:szCs w:val="28"/>
        </w:rPr>
      </w:pPr>
      <w:r>
        <w:rPr>
          <w:rFonts w:ascii="仿宋" w:hAnsi="仿宋" w:eastAsia="仿宋" w:cs="仿宋"/>
          <w:b/>
          <w:bCs/>
          <w:spacing w:val="-11"/>
          <w:sz w:val="28"/>
          <w:szCs w:val="28"/>
        </w:rPr>
        <w:t>第一百二十条</w:t>
      </w:r>
      <w:r>
        <w:rPr>
          <w:rFonts w:ascii="仿宋" w:hAnsi="仿宋" w:eastAsia="仿宋" w:cs="仿宋"/>
          <w:spacing w:val="43"/>
          <w:sz w:val="28"/>
          <w:szCs w:val="28"/>
        </w:rPr>
        <w:t xml:space="preserve"> </w:t>
      </w:r>
      <w:r>
        <w:rPr>
          <w:rFonts w:ascii="仿宋" w:hAnsi="仿宋" w:eastAsia="仿宋" w:cs="仿宋"/>
          <w:b/>
          <w:bCs/>
          <w:spacing w:val="-11"/>
          <w:sz w:val="28"/>
          <w:szCs w:val="28"/>
        </w:rPr>
        <w:t>旷工</w:t>
      </w:r>
    </w:p>
    <w:p w14:paraId="39D18439">
      <w:pPr>
        <w:spacing w:before="225" w:line="352" w:lineRule="auto"/>
        <w:ind w:left="37" w:right="101" w:firstLine="566"/>
        <w:rPr>
          <w:rFonts w:ascii="仿宋" w:hAnsi="仿宋" w:eastAsia="仿宋" w:cs="仿宋"/>
          <w:sz w:val="28"/>
          <w:szCs w:val="28"/>
        </w:rPr>
      </w:pPr>
      <w:r>
        <w:rPr>
          <w:rFonts w:ascii="仿宋" w:hAnsi="仿宋" w:eastAsia="仿宋" w:cs="仿宋"/>
          <w:spacing w:val="-6"/>
          <w:sz w:val="28"/>
          <w:szCs w:val="28"/>
        </w:rPr>
        <w:t>1.旷工少于或等于</w:t>
      </w:r>
      <w:r>
        <w:rPr>
          <w:rFonts w:ascii="仿宋" w:hAnsi="仿宋" w:eastAsia="仿宋" w:cs="仿宋"/>
          <w:spacing w:val="-39"/>
          <w:sz w:val="28"/>
          <w:szCs w:val="28"/>
        </w:rPr>
        <w:t xml:space="preserve"> </w:t>
      </w:r>
      <w:r>
        <w:rPr>
          <w:rFonts w:ascii="仿宋" w:hAnsi="仿宋" w:eastAsia="仿宋" w:cs="仿宋"/>
          <w:spacing w:val="-6"/>
          <w:sz w:val="28"/>
          <w:szCs w:val="28"/>
        </w:rPr>
        <w:t>3</w:t>
      </w:r>
      <w:r>
        <w:rPr>
          <w:rFonts w:ascii="仿宋" w:hAnsi="仿宋" w:eastAsia="仿宋" w:cs="仿宋"/>
          <w:spacing w:val="-52"/>
          <w:sz w:val="28"/>
          <w:szCs w:val="28"/>
        </w:rPr>
        <w:t xml:space="preserve"> </w:t>
      </w:r>
      <w:r>
        <w:rPr>
          <w:rFonts w:ascii="仿宋" w:hAnsi="仿宋" w:eastAsia="仿宋" w:cs="仿宋"/>
          <w:spacing w:val="-6"/>
          <w:sz w:val="28"/>
          <w:szCs w:val="28"/>
        </w:rPr>
        <w:t>个工作日者，由秘书长给予书面警告处分并</w:t>
      </w:r>
      <w:r>
        <w:rPr>
          <w:rFonts w:ascii="仿宋" w:hAnsi="仿宋" w:eastAsia="仿宋" w:cs="仿宋"/>
          <w:sz w:val="28"/>
          <w:szCs w:val="28"/>
        </w:rPr>
        <w:t xml:space="preserve"> </w:t>
      </w:r>
      <w:r>
        <w:rPr>
          <w:rFonts w:ascii="仿宋" w:hAnsi="仿宋" w:eastAsia="仿宋" w:cs="仿宋"/>
          <w:spacing w:val="-2"/>
          <w:sz w:val="28"/>
          <w:szCs w:val="28"/>
        </w:rPr>
        <w:t>存入个人档案，扣除旷工天数的全部工资；</w:t>
      </w:r>
    </w:p>
    <w:p w14:paraId="78788884">
      <w:pPr>
        <w:spacing w:before="53" w:line="352" w:lineRule="auto"/>
        <w:ind w:left="45" w:right="69" w:firstLine="540"/>
        <w:rPr>
          <w:rFonts w:ascii="仿宋" w:hAnsi="仿宋" w:eastAsia="仿宋" w:cs="仿宋"/>
          <w:sz w:val="28"/>
          <w:szCs w:val="28"/>
        </w:rPr>
      </w:pPr>
      <w:r>
        <w:rPr>
          <w:rFonts w:ascii="仿宋" w:hAnsi="仿宋" w:eastAsia="仿宋" w:cs="仿宋"/>
          <w:spacing w:val="-6"/>
          <w:sz w:val="28"/>
          <w:szCs w:val="28"/>
        </w:rPr>
        <w:t>2.如果旷工超过</w:t>
      </w:r>
      <w:r>
        <w:rPr>
          <w:rFonts w:ascii="仿宋" w:hAnsi="仿宋" w:eastAsia="仿宋" w:cs="仿宋"/>
          <w:spacing w:val="-55"/>
          <w:sz w:val="28"/>
          <w:szCs w:val="28"/>
        </w:rPr>
        <w:t xml:space="preserve"> </w:t>
      </w:r>
      <w:r>
        <w:rPr>
          <w:rFonts w:ascii="仿宋" w:hAnsi="仿宋" w:eastAsia="仿宋" w:cs="仿宋"/>
          <w:spacing w:val="-6"/>
          <w:sz w:val="28"/>
          <w:szCs w:val="28"/>
        </w:rPr>
        <w:t>3</w:t>
      </w:r>
      <w:r>
        <w:rPr>
          <w:rFonts w:ascii="仿宋" w:hAnsi="仿宋" w:eastAsia="仿宋" w:cs="仿宋"/>
          <w:spacing w:val="-50"/>
          <w:sz w:val="28"/>
          <w:szCs w:val="28"/>
        </w:rPr>
        <w:t xml:space="preserve"> </w:t>
      </w:r>
      <w:r>
        <w:rPr>
          <w:rFonts w:ascii="仿宋" w:hAnsi="仿宋" w:eastAsia="仿宋" w:cs="仿宋"/>
          <w:spacing w:val="-6"/>
          <w:sz w:val="28"/>
          <w:szCs w:val="28"/>
        </w:rPr>
        <w:t>个工作日，但少于或等于</w:t>
      </w:r>
      <w:r>
        <w:rPr>
          <w:rFonts w:ascii="仿宋" w:hAnsi="仿宋" w:eastAsia="仿宋" w:cs="仿宋"/>
          <w:spacing w:val="-52"/>
          <w:sz w:val="28"/>
          <w:szCs w:val="28"/>
        </w:rPr>
        <w:t xml:space="preserve"> </w:t>
      </w:r>
      <w:r>
        <w:rPr>
          <w:rFonts w:ascii="仿宋" w:hAnsi="仿宋" w:eastAsia="仿宋" w:cs="仿宋"/>
          <w:spacing w:val="-6"/>
          <w:sz w:val="28"/>
          <w:szCs w:val="28"/>
        </w:rPr>
        <w:t>5</w:t>
      </w:r>
      <w:r>
        <w:rPr>
          <w:rFonts w:ascii="仿宋" w:hAnsi="仿宋" w:eastAsia="仿宋" w:cs="仿宋"/>
          <w:spacing w:val="-52"/>
          <w:sz w:val="28"/>
          <w:szCs w:val="28"/>
        </w:rPr>
        <w:t xml:space="preserve"> </w:t>
      </w:r>
      <w:r>
        <w:rPr>
          <w:rFonts w:ascii="仿宋" w:hAnsi="仿宋" w:eastAsia="仿宋" w:cs="仿宋"/>
          <w:spacing w:val="-6"/>
          <w:sz w:val="28"/>
          <w:szCs w:val="28"/>
        </w:rPr>
        <w:t>个工作日</w:t>
      </w:r>
      <w:r>
        <w:rPr>
          <w:rFonts w:ascii="仿宋" w:hAnsi="仿宋" w:eastAsia="仿宋" w:cs="仿宋"/>
          <w:spacing w:val="-7"/>
          <w:sz w:val="28"/>
          <w:szCs w:val="28"/>
        </w:rPr>
        <w:t>，将由秘</w:t>
      </w:r>
      <w:r>
        <w:rPr>
          <w:rFonts w:ascii="仿宋" w:hAnsi="仿宋" w:eastAsia="仿宋" w:cs="仿宋"/>
          <w:sz w:val="28"/>
          <w:szCs w:val="28"/>
        </w:rPr>
        <w:t xml:space="preserve"> </w:t>
      </w:r>
      <w:r>
        <w:rPr>
          <w:rFonts w:ascii="仿宋" w:hAnsi="仿宋" w:eastAsia="仿宋" w:cs="仿宋"/>
          <w:spacing w:val="-3"/>
          <w:sz w:val="28"/>
          <w:szCs w:val="28"/>
        </w:rPr>
        <w:t>书长批准给予留职查看处分并存入个个档案，并扣除当月</w:t>
      </w:r>
      <w:r>
        <w:rPr>
          <w:rFonts w:ascii="仿宋" w:hAnsi="仿宋" w:eastAsia="仿宋" w:cs="仿宋"/>
          <w:spacing w:val="-4"/>
          <w:sz w:val="28"/>
          <w:szCs w:val="28"/>
        </w:rPr>
        <w:t>全部工资；</w:t>
      </w:r>
    </w:p>
    <w:p w14:paraId="765169FC">
      <w:pPr>
        <w:spacing w:before="50" w:line="355" w:lineRule="auto"/>
        <w:ind w:left="62" w:right="101" w:firstLine="526"/>
        <w:rPr>
          <w:rFonts w:ascii="仿宋" w:hAnsi="仿宋" w:eastAsia="仿宋" w:cs="仿宋"/>
          <w:sz w:val="28"/>
          <w:szCs w:val="28"/>
        </w:rPr>
      </w:pPr>
      <w:r>
        <w:rPr>
          <w:rFonts w:ascii="仿宋" w:hAnsi="仿宋" w:eastAsia="仿宋" w:cs="仿宋"/>
          <w:spacing w:val="-5"/>
          <w:sz w:val="28"/>
          <w:szCs w:val="28"/>
        </w:rPr>
        <w:t>3.如果旷工超过</w:t>
      </w:r>
      <w:r>
        <w:rPr>
          <w:rFonts w:ascii="仿宋" w:hAnsi="仿宋" w:eastAsia="仿宋" w:cs="仿宋"/>
          <w:spacing w:val="-55"/>
          <w:sz w:val="28"/>
          <w:szCs w:val="28"/>
        </w:rPr>
        <w:t xml:space="preserve"> </w:t>
      </w:r>
      <w:r>
        <w:rPr>
          <w:rFonts w:ascii="仿宋" w:hAnsi="仿宋" w:eastAsia="仿宋" w:cs="仿宋"/>
          <w:spacing w:val="-5"/>
          <w:sz w:val="28"/>
          <w:szCs w:val="28"/>
        </w:rPr>
        <w:t>5</w:t>
      </w:r>
      <w:r>
        <w:rPr>
          <w:rFonts w:ascii="仿宋" w:hAnsi="仿宋" w:eastAsia="仿宋" w:cs="仿宋"/>
          <w:spacing w:val="-50"/>
          <w:sz w:val="28"/>
          <w:szCs w:val="28"/>
        </w:rPr>
        <w:t xml:space="preserve"> </w:t>
      </w:r>
      <w:r>
        <w:rPr>
          <w:rFonts w:ascii="仿宋" w:hAnsi="仿宋" w:eastAsia="仿宋" w:cs="仿宋"/>
          <w:spacing w:val="-5"/>
          <w:sz w:val="28"/>
          <w:szCs w:val="28"/>
        </w:rPr>
        <w:t>个工作日，基金会将终止其劳动合同，并扣除</w:t>
      </w:r>
      <w:r>
        <w:rPr>
          <w:rFonts w:ascii="仿宋" w:hAnsi="仿宋" w:eastAsia="仿宋" w:cs="仿宋"/>
          <w:sz w:val="28"/>
          <w:szCs w:val="28"/>
        </w:rPr>
        <w:t xml:space="preserve"> </w:t>
      </w:r>
      <w:r>
        <w:rPr>
          <w:rFonts w:ascii="仿宋" w:hAnsi="仿宋" w:eastAsia="仿宋" w:cs="仿宋"/>
          <w:spacing w:val="-7"/>
          <w:sz w:val="28"/>
          <w:szCs w:val="28"/>
        </w:rPr>
        <w:t>当月全部工资。</w:t>
      </w:r>
    </w:p>
    <w:p w14:paraId="1850B961">
      <w:pPr>
        <w:pStyle w:val="2"/>
        <w:spacing w:before="43" w:line="222" w:lineRule="auto"/>
        <w:ind w:left="3056"/>
        <w:rPr>
          <w:rFonts w:ascii="黑体" w:hAnsi="黑体" w:eastAsia="黑体" w:cs="黑体"/>
        </w:rPr>
      </w:pPr>
      <w:r>
        <w:rPr>
          <w:spacing w:val="-2"/>
        </w:rPr>
        <w:t xml:space="preserve">第四十一章  </w:t>
      </w:r>
      <w:r>
        <w:rPr>
          <w:rFonts w:ascii="黑体" w:hAnsi="黑体" w:eastAsia="黑体" w:cs="黑体"/>
          <w:b/>
          <w:bCs/>
          <w:spacing w:val="-2"/>
        </w:rPr>
        <w:t>福利</w:t>
      </w:r>
    </w:p>
    <w:p w14:paraId="6F38A120">
      <w:pPr>
        <w:spacing w:before="222" w:line="221" w:lineRule="auto"/>
        <w:ind w:left="603"/>
        <w:rPr>
          <w:rFonts w:ascii="仿宋" w:hAnsi="仿宋" w:eastAsia="仿宋" w:cs="仿宋"/>
          <w:sz w:val="28"/>
          <w:szCs w:val="28"/>
        </w:rPr>
      </w:pPr>
      <w:r>
        <w:rPr>
          <w:rFonts w:ascii="仿宋" w:hAnsi="仿宋" w:eastAsia="仿宋" w:cs="仿宋"/>
          <w:b/>
          <w:bCs/>
          <w:spacing w:val="-5"/>
          <w:sz w:val="28"/>
          <w:szCs w:val="28"/>
        </w:rPr>
        <w:t>第一百二十一条</w:t>
      </w:r>
      <w:r>
        <w:rPr>
          <w:rFonts w:ascii="仿宋" w:hAnsi="仿宋" w:eastAsia="仿宋" w:cs="仿宋"/>
          <w:spacing w:val="-5"/>
          <w:sz w:val="28"/>
          <w:szCs w:val="28"/>
        </w:rPr>
        <w:t xml:space="preserve"> </w:t>
      </w:r>
      <w:r>
        <w:rPr>
          <w:rFonts w:ascii="仿宋" w:hAnsi="仿宋" w:eastAsia="仿宋" w:cs="仿宋"/>
          <w:b/>
          <w:bCs/>
          <w:spacing w:val="-5"/>
          <w:sz w:val="28"/>
          <w:szCs w:val="28"/>
        </w:rPr>
        <w:t>基本福利</w:t>
      </w:r>
    </w:p>
    <w:p w14:paraId="03A9645B">
      <w:pPr>
        <w:spacing w:before="227" w:line="223" w:lineRule="auto"/>
        <w:ind w:left="602"/>
        <w:rPr>
          <w:rFonts w:ascii="仿宋" w:hAnsi="仿宋" w:eastAsia="仿宋" w:cs="仿宋"/>
          <w:sz w:val="28"/>
          <w:szCs w:val="28"/>
        </w:rPr>
      </w:pPr>
      <w:r>
        <w:rPr>
          <w:rFonts w:ascii="仿宋" w:hAnsi="仿宋" w:eastAsia="仿宋" w:cs="仿宋"/>
          <w:spacing w:val="-1"/>
          <w:sz w:val="28"/>
          <w:szCs w:val="28"/>
        </w:rPr>
        <w:t>与基金会签订了劳动合同的员工，可以享受</w:t>
      </w:r>
      <w:r>
        <w:rPr>
          <w:rFonts w:ascii="仿宋" w:hAnsi="仿宋" w:eastAsia="仿宋" w:cs="仿宋"/>
          <w:spacing w:val="-2"/>
          <w:sz w:val="28"/>
          <w:szCs w:val="28"/>
        </w:rPr>
        <w:t>下列福利：</w:t>
      </w:r>
    </w:p>
    <w:p w14:paraId="53939AC1">
      <w:pPr>
        <w:spacing w:before="221" w:line="353" w:lineRule="auto"/>
        <w:ind w:left="39" w:right="20" w:firstLine="564"/>
        <w:rPr>
          <w:rFonts w:ascii="仿宋" w:hAnsi="仿宋" w:eastAsia="仿宋" w:cs="仿宋"/>
          <w:sz w:val="28"/>
          <w:szCs w:val="28"/>
        </w:rPr>
      </w:pPr>
      <w:r>
        <w:rPr>
          <w:rFonts w:ascii="仿宋" w:hAnsi="仿宋" w:eastAsia="仿宋" w:cs="仿宋"/>
          <w:spacing w:val="-11"/>
          <w:sz w:val="28"/>
          <w:szCs w:val="28"/>
        </w:rPr>
        <w:t>1.社会保险和公积金：基本养老保险，失业保险，基本医疗保险，</w:t>
      </w:r>
      <w:r>
        <w:rPr>
          <w:rFonts w:ascii="仿宋" w:hAnsi="仿宋" w:eastAsia="仿宋" w:cs="仿宋"/>
          <w:spacing w:val="6"/>
          <w:sz w:val="28"/>
          <w:szCs w:val="28"/>
        </w:rPr>
        <w:t xml:space="preserve"> </w:t>
      </w:r>
      <w:r>
        <w:rPr>
          <w:rFonts w:ascii="仿宋" w:hAnsi="仿宋" w:eastAsia="仿宋" w:cs="仿宋"/>
          <w:spacing w:val="-2"/>
          <w:sz w:val="28"/>
          <w:szCs w:val="28"/>
        </w:rPr>
        <w:t>工伤保险，生育医疗，公积金。</w:t>
      </w:r>
    </w:p>
    <w:p w14:paraId="6877AA8C">
      <w:pPr>
        <w:spacing w:before="49" w:line="353" w:lineRule="auto"/>
        <w:ind w:left="32" w:right="101" w:firstLine="553"/>
        <w:rPr>
          <w:rFonts w:ascii="仿宋" w:hAnsi="仿宋" w:eastAsia="仿宋" w:cs="仿宋"/>
          <w:sz w:val="28"/>
          <w:szCs w:val="28"/>
        </w:rPr>
      </w:pPr>
      <w:r>
        <w:rPr>
          <w:rFonts w:ascii="仿宋" w:hAnsi="仿宋" w:eastAsia="仿宋" w:cs="仿宋"/>
          <w:spacing w:val="-2"/>
          <w:sz w:val="28"/>
          <w:szCs w:val="28"/>
        </w:rPr>
        <w:t>2.商业保险：人身意外险；补充医疗保险，员工</w:t>
      </w:r>
      <w:r>
        <w:rPr>
          <w:rFonts w:ascii="仿宋" w:hAnsi="仿宋" w:eastAsia="仿宋" w:cs="仿宋"/>
          <w:spacing w:val="89"/>
          <w:sz w:val="28"/>
          <w:szCs w:val="28"/>
        </w:rPr>
        <w:t xml:space="preserve"> </w:t>
      </w:r>
      <w:r>
        <w:rPr>
          <w:rFonts w:ascii="仿宋" w:hAnsi="仿宋" w:eastAsia="仿宋" w:cs="仿宋"/>
          <w:spacing w:val="-2"/>
          <w:sz w:val="28"/>
          <w:szCs w:val="28"/>
        </w:rPr>
        <w:t>自愿参保，基</w:t>
      </w:r>
      <w:r>
        <w:rPr>
          <w:rFonts w:ascii="仿宋" w:hAnsi="仿宋" w:eastAsia="仿宋" w:cs="仿宋"/>
          <w:sz w:val="28"/>
          <w:szCs w:val="28"/>
        </w:rPr>
        <w:t xml:space="preserve"> </w:t>
      </w:r>
      <w:r>
        <w:rPr>
          <w:rFonts w:ascii="仿宋" w:hAnsi="仿宋" w:eastAsia="仿宋" w:cs="仿宋"/>
          <w:spacing w:val="-1"/>
          <w:sz w:val="28"/>
          <w:szCs w:val="28"/>
        </w:rPr>
        <w:t>金会与参保员工共同承担保费；健康检查，即每年一次健康体检</w:t>
      </w:r>
    </w:p>
    <w:p w14:paraId="7764C696">
      <w:pPr>
        <w:spacing w:before="48" w:line="221" w:lineRule="auto"/>
        <w:ind w:left="588"/>
        <w:rPr>
          <w:rFonts w:ascii="仿宋" w:hAnsi="仿宋" w:eastAsia="仿宋" w:cs="仿宋"/>
          <w:sz w:val="28"/>
          <w:szCs w:val="28"/>
        </w:rPr>
      </w:pPr>
      <w:r>
        <w:rPr>
          <w:rFonts w:ascii="仿宋" w:hAnsi="仿宋" w:eastAsia="仿宋" w:cs="仿宋"/>
          <w:spacing w:val="-2"/>
          <w:sz w:val="28"/>
          <w:szCs w:val="28"/>
        </w:rPr>
        <w:t>3.工作期间的工作餐。</w:t>
      </w:r>
    </w:p>
    <w:p w14:paraId="3A9A2F39">
      <w:pPr>
        <w:spacing w:before="225" w:line="222" w:lineRule="auto"/>
        <w:ind w:left="603"/>
        <w:rPr>
          <w:rFonts w:ascii="仿宋" w:hAnsi="仿宋" w:eastAsia="仿宋" w:cs="仿宋"/>
          <w:sz w:val="28"/>
          <w:szCs w:val="28"/>
        </w:rPr>
      </w:pPr>
      <w:r>
        <w:rPr>
          <w:rFonts w:ascii="仿宋" w:hAnsi="仿宋" w:eastAsia="仿宋" w:cs="仿宋"/>
          <w:b/>
          <w:bCs/>
          <w:spacing w:val="-4"/>
          <w:sz w:val="28"/>
          <w:szCs w:val="28"/>
        </w:rPr>
        <w:t>第一百二十二条</w:t>
      </w:r>
      <w:r>
        <w:rPr>
          <w:rFonts w:ascii="仿宋" w:hAnsi="仿宋" w:eastAsia="仿宋" w:cs="仿宋"/>
          <w:spacing w:val="-4"/>
          <w:sz w:val="28"/>
          <w:szCs w:val="28"/>
        </w:rPr>
        <w:t xml:space="preserve"> </w:t>
      </w:r>
      <w:r>
        <w:rPr>
          <w:rFonts w:ascii="仿宋" w:hAnsi="仿宋" w:eastAsia="仿宋" w:cs="仿宋"/>
          <w:b/>
          <w:bCs/>
          <w:spacing w:val="-4"/>
          <w:sz w:val="28"/>
          <w:szCs w:val="28"/>
        </w:rPr>
        <w:t>丧假和抚恤金</w:t>
      </w:r>
    </w:p>
    <w:p w14:paraId="59DBD99B">
      <w:pPr>
        <w:spacing w:before="224" w:line="353" w:lineRule="auto"/>
        <w:ind w:left="41" w:right="69" w:firstLine="562"/>
        <w:rPr>
          <w:rFonts w:ascii="仿宋" w:hAnsi="仿宋" w:eastAsia="仿宋" w:cs="仿宋"/>
          <w:sz w:val="28"/>
          <w:szCs w:val="28"/>
        </w:rPr>
      </w:pPr>
      <w:r>
        <w:rPr>
          <w:rFonts w:ascii="仿宋" w:hAnsi="仿宋" w:eastAsia="仿宋" w:cs="仿宋"/>
          <w:spacing w:val="-4"/>
          <w:sz w:val="28"/>
          <w:szCs w:val="28"/>
        </w:rPr>
        <w:t>1.员工的直系亲属即配偶、子女、父母、兄</w:t>
      </w:r>
      <w:r>
        <w:rPr>
          <w:rFonts w:ascii="仿宋" w:hAnsi="仿宋" w:eastAsia="仿宋" w:cs="仿宋"/>
          <w:spacing w:val="-5"/>
          <w:sz w:val="28"/>
          <w:szCs w:val="28"/>
        </w:rPr>
        <w:t>弟姐妹、配偶的父母</w:t>
      </w:r>
      <w:r>
        <w:rPr>
          <w:rFonts w:ascii="仿宋" w:hAnsi="仿宋" w:eastAsia="仿宋" w:cs="仿宋"/>
          <w:sz w:val="28"/>
          <w:szCs w:val="28"/>
        </w:rPr>
        <w:t xml:space="preserve"> </w:t>
      </w:r>
      <w:r>
        <w:rPr>
          <w:rFonts w:ascii="仿宋" w:hAnsi="仿宋" w:eastAsia="仿宋" w:cs="仿宋"/>
          <w:spacing w:val="-4"/>
          <w:sz w:val="28"/>
          <w:szCs w:val="28"/>
        </w:rPr>
        <w:t>去世，可以享受</w:t>
      </w:r>
      <w:r>
        <w:rPr>
          <w:rFonts w:ascii="仿宋" w:hAnsi="仿宋" w:eastAsia="仿宋" w:cs="仿宋"/>
          <w:spacing w:val="-55"/>
          <w:sz w:val="28"/>
          <w:szCs w:val="28"/>
        </w:rPr>
        <w:t xml:space="preserve"> </w:t>
      </w:r>
      <w:r>
        <w:rPr>
          <w:rFonts w:ascii="仿宋" w:hAnsi="仿宋" w:eastAsia="仿宋" w:cs="仿宋"/>
          <w:spacing w:val="-4"/>
          <w:sz w:val="28"/>
          <w:szCs w:val="28"/>
        </w:rPr>
        <w:t>5</w:t>
      </w:r>
      <w:r>
        <w:rPr>
          <w:rFonts w:ascii="仿宋" w:hAnsi="仿宋" w:eastAsia="仿宋" w:cs="仿宋"/>
          <w:spacing w:val="-52"/>
          <w:sz w:val="28"/>
          <w:szCs w:val="28"/>
        </w:rPr>
        <w:t xml:space="preserve"> </w:t>
      </w:r>
      <w:r>
        <w:rPr>
          <w:rFonts w:ascii="仿宋" w:hAnsi="仿宋" w:eastAsia="仿宋" w:cs="仿宋"/>
          <w:spacing w:val="-4"/>
          <w:sz w:val="28"/>
          <w:szCs w:val="28"/>
        </w:rPr>
        <w:t>个工作日的丧假，并且基金会将支付员工</w:t>
      </w:r>
      <w:r>
        <w:rPr>
          <w:rFonts w:ascii="仿宋" w:hAnsi="仿宋" w:eastAsia="仿宋" w:cs="仿宋"/>
          <w:spacing w:val="-5"/>
          <w:sz w:val="28"/>
          <w:szCs w:val="28"/>
        </w:rPr>
        <w:t>抚恤金；</w:t>
      </w:r>
    </w:p>
    <w:p w14:paraId="508EC2B3">
      <w:pPr>
        <w:spacing w:before="50" w:line="354" w:lineRule="auto"/>
        <w:ind w:left="41" w:right="101" w:firstLine="544"/>
        <w:rPr>
          <w:rFonts w:ascii="仿宋" w:hAnsi="仿宋" w:eastAsia="仿宋" w:cs="仿宋"/>
          <w:sz w:val="28"/>
          <w:szCs w:val="28"/>
        </w:rPr>
      </w:pPr>
      <w:r>
        <w:rPr>
          <w:rFonts w:ascii="仿宋" w:hAnsi="仿宋" w:eastAsia="仿宋" w:cs="仿宋"/>
          <w:spacing w:val="-4"/>
          <w:sz w:val="28"/>
          <w:szCs w:val="28"/>
        </w:rPr>
        <w:t>2.员工的直系亲属即配偶、子女、父母、兄弟姐妹、配偶的父母</w:t>
      </w:r>
      <w:r>
        <w:rPr>
          <w:rFonts w:ascii="仿宋" w:hAnsi="仿宋" w:eastAsia="仿宋" w:cs="仿宋"/>
          <w:spacing w:val="9"/>
          <w:sz w:val="28"/>
          <w:szCs w:val="28"/>
        </w:rPr>
        <w:t xml:space="preserve"> </w:t>
      </w:r>
      <w:r>
        <w:rPr>
          <w:rFonts w:ascii="仿宋" w:hAnsi="仿宋" w:eastAsia="仿宋" w:cs="仿宋"/>
          <w:spacing w:val="-5"/>
          <w:sz w:val="28"/>
          <w:szCs w:val="28"/>
        </w:rPr>
        <w:t>去世，抚恤金为人民币</w:t>
      </w:r>
      <w:r>
        <w:rPr>
          <w:rFonts w:ascii="仿宋" w:hAnsi="仿宋" w:eastAsia="仿宋" w:cs="仿宋"/>
          <w:spacing w:val="-44"/>
          <w:sz w:val="28"/>
          <w:szCs w:val="28"/>
        </w:rPr>
        <w:t xml:space="preserve"> </w:t>
      </w:r>
      <w:r>
        <w:rPr>
          <w:rFonts w:ascii="仿宋" w:hAnsi="仿宋" w:eastAsia="仿宋" w:cs="仿宋"/>
          <w:spacing w:val="-5"/>
          <w:sz w:val="28"/>
          <w:szCs w:val="28"/>
        </w:rPr>
        <w:t>500</w:t>
      </w:r>
      <w:r>
        <w:rPr>
          <w:rFonts w:ascii="仿宋" w:hAnsi="仿宋" w:eastAsia="仿宋" w:cs="仿宋"/>
          <w:spacing w:val="-49"/>
          <w:sz w:val="28"/>
          <w:szCs w:val="28"/>
        </w:rPr>
        <w:t xml:space="preserve"> </w:t>
      </w:r>
      <w:r>
        <w:rPr>
          <w:rFonts w:ascii="仿宋" w:hAnsi="仿宋" w:eastAsia="仿宋" w:cs="仿宋"/>
          <w:spacing w:val="-5"/>
          <w:sz w:val="28"/>
          <w:szCs w:val="28"/>
        </w:rPr>
        <w:t>元；</w:t>
      </w:r>
    </w:p>
    <w:p w14:paraId="16CEDD03">
      <w:pPr>
        <w:spacing w:before="45" w:line="221" w:lineRule="auto"/>
        <w:ind w:left="588"/>
        <w:rPr>
          <w:rFonts w:ascii="仿宋" w:hAnsi="仿宋" w:eastAsia="仿宋" w:cs="仿宋"/>
          <w:sz w:val="28"/>
          <w:szCs w:val="28"/>
        </w:rPr>
      </w:pPr>
      <w:r>
        <w:rPr>
          <w:rFonts w:ascii="仿宋" w:hAnsi="仿宋" w:eastAsia="仿宋" w:cs="仿宋"/>
          <w:spacing w:val="6"/>
          <w:sz w:val="28"/>
          <w:szCs w:val="28"/>
        </w:rPr>
        <w:t>3.丧假由员工递交申请并经行政官员批准后，交予行政部门记</w:t>
      </w:r>
    </w:p>
    <w:p w14:paraId="1366F40E">
      <w:pPr>
        <w:spacing w:line="221" w:lineRule="auto"/>
        <w:rPr>
          <w:rFonts w:ascii="仿宋" w:hAnsi="仿宋" w:eastAsia="仿宋" w:cs="仿宋"/>
          <w:sz w:val="28"/>
          <w:szCs w:val="28"/>
        </w:rPr>
        <w:sectPr>
          <w:pgSz w:w="11906" w:h="16839"/>
          <w:pgMar w:top="400" w:right="1698" w:bottom="400" w:left="1785" w:header="0" w:footer="850" w:gutter="0"/>
          <w:pgNumType w:fmt="decimal"/>
          <w:cols w:space="720" w:num="1"/>
        </w:sectPr>
      </w:pPr>
    </w:p>
    <w:p w14:paraId="50CE2405">
      <w:pPr>
        <w:spacing w:line="288" w:lineRule="auto"/>
        <w:rPr>
          <w:rFonts w:ascii="Arial"/>
          <w:sz w:val="21"/>
        </w:rPr>
      </w:pPr>
    </w:p>
    <w:p w14:paraId="40AC1E3B">
      <w:pPr>
        <w:spacing w:line="288" w:lineRule="auto"/>
        <w:rPr>
          <w:rFonts w:ascii="Arial"/>
          <w:sz w:val="21"/>
        </w:rPr>
      </w:pPr>
    </w:p>
    <w:p w14:paraId="53506617">
      <w:pPr>
        <w:spacing w:line="288" w:lineRule="auto"/>
        <w:rPr>
          <w:rFonts w:ascii="Arial"/>
          <w:sz w:val="21"/>
        </w:rPr>
      </w:pPr>
    </w:p>
    <w:p w14:paraId="20199C78">
      <w:pPr>
        <w:spacing w:line="288" w:lineRule="auto"/>
        <w:rPr>
          <w:rFonts w:ascii="Arial"/>
          <w:sz w:val="21"/>
        </w:rPr>
      </w:pPr>
    </w:p>
    <w:p w14:paraId="1567B5A2">
      <w:pPr>
        <w:spacing w:before="91" w:line="361" w:lineRule="auto"/>
        <w:ind w:left="32" w:firstLine="10"/>
        <w:jc w:val="both"/>
        <w:rPr>
          <w:rFonts w:ascii="仿宋" w:hAnsi="仿宋" w:eastAsia="仿宋" w:cs="仿宋"/>
          <w:sz w:val="28"/>
          <w:szCs w:val="28"/>
        </w:rPr>
      </w:pPr>
      <w:r>
        <w:rPr>
          <w:rFonts w:ascii="仿宋" w:hAnsi="仿宋" w:eastAsia="仿宋" w:cs="仿宋"/>
          <w:spacing w:val="-4"/>
          <w:sz w:val="28"/>
          <w:szCs w:val="28"/>
        </w:rPr>
        <w:t>录；丧假为员工在亲属亡故时办理丧事之用，因此员工应在</w:t>
      </w:r>
      <w:r>
        <w:rPr>
          <w:rFonts w:ascii="仿宋" w:hAnsi="仿宋" w:eastAsia="仿宋" w:cs="仿宋"/>
          <w:spacing w:val="-5"/>
          <w:sz w:val="28"/>
          <w:szCs w:val="28"/>
        </w:rPr>
        <w:t>得知亲属</w:t>
      </w:r>
      <w:r>
        <w:rPr>
          <w:rFonts w:ascii="仿宋" w:hAnsi="仿宋" w:eastAsia="仿宋" w:cs="仿宋"/>
          <w:sz w:val="28"/>
          <w:szCs w:val="28"/>
        </w:rPr>
        <w:t xml:space="preserve"> </w:t>
      </w:r>
      <w:r>
        <w:rPr>
          <w:rFonts w:ascii="仿宋" w:hAnsi="仿宋" w:eastAsia="仿宋" w:cs="仿宋"/>
          <w:spacing w:val="6"/>
          <w:sz w:val="28"/>
          <w:szCs w:val="28"/>
        </w:rPr>
        <w:t>亡故时及时知会基金会行政部门，以便基金会妥</w:t>
      </w:r>
      <w:r>
        <w:rPr>
          <w:rFonts w:ascii="仿宋" w:hAnsi="仿宋" w:eastAsia="仿宋" w:cs="仿宋"/>
          <w:spacing w:val="5"/>
          <w:sz w:val="28"/>
          <w:szCs w:val="28"/>
        </w:rPr>
        <w:t>善安排丧假有关事</w:t>
      </w:r>
      <w:r>
        <w:rPr>
          <w:rFonts w:ascii="仿宋" w:hAnsi="仿宋" w:eastAsia="仿宋" w:cs="仿宋"/>
          <w:sz w:val="28"/>
          <w:szCs w:val="28"/>
        </w:rPr>
        <w:t xml:space="preserve"> </w:t>
      </w:r>
      <w:r>
        <w:rPr>
          <w:rFonts w:ascii="仿宋" w:hAnsi="仿宋" w:eastAsia="仿宋" w:cs="仿宋"/>
          <w:spacing w:val="-10"/>
          <w:sz w:val="28"/>
          <w:szCs w:val="28"/>
        </w:rPr>
        <w:t>宜，并在事后提供证明；丧假应员工的申请使用，未申请的不予</w:t>
      </w:r>
      <w:r>
        <w:rPr>
          <w:rFonts w:ascii="仿宋" w:hAnsi="仿宋" w:eastAsia="仿宋" w:cs="仿宋"/>
          <w:spacing w:val="-11"/>
          <w:sz w:val="28"/>
          <w:szCs w:val="28"/>
        </w:rPr>
        <w:t>补休，</w:t>
      </w:r>
      <w:r>
        <w:rPr>
          <w:rFonts w:ascii="仿宋" w:hAnsi="仿宋" w:eastAsia="仿宋" w:cs="仿宋"/>
          <w:sz w:val="28"/>
          <w:szCs w:val="28"/>
        </w:rPr>
        <w:t xml:space="preserve"> </w:t>
      </w:r>
      <w:r>
        <w:rPr>
          <w:rFonts w:ascii="仿宋" w:hAnsi="仿宋" w:eastAsia="仿宋" w:cs="仿宋"/>
          <w:spacing w:val="-3"/>
          <w:sz w:val="28"/>
          <w:szCs w:val="28"/>
        </w:rPr>
        <w:t>亦不折现补偿。</w:t>
      </w:r>
    </w:p>
    <w:p w14:paraId="43390B39">
      <w:pPr>
        <w:spacing w:before="46" w:line="223" w:lineRule="auto"/>
        <w:ind w:left="581"/>
        <w:rPr>
          <w:rFonts w:ascii="仿宋" w:hAnsi="仿宋" w:eastAsia="仿宋" w:cs="仿宋"/>
          <w:sz w:val="28"/>
          <w:szCs w:val="28"/>
        </w:rPr>
      </w:pPr>
      <w:r>
        <w:rPr>
          <w:rFonts w:ascii="仿宋" w:hAnsi="仿宋" w:eastAsia="仿宋" w:cs="仿宋"/>
          <w:spacing w:val="-1"/>
          <w:sz w:val="28"/>
          <w:szCs w:val="28"/>
        </w:rPr>
        <w:t>4.员工的抚恤金和当月工资一起支付。</w:t>
      </w:r>
    </w:p>
    <w:p w14:paraId="65C73463">
      <w:pPr>
        <w:pStyle w:val="2"/>
        <w:spacing w:before="220" w:line="222" w:lineRule="auto"/>
        <w:ind w:left="2633"/>
        <w:rPr>
          <w:rFonts w:ascii="黑体" w:hAnsi="黑体" w:eastAsia="黑体" w:cs="黑体"/>
        </w:rPr>
      </w:pPr>
      <w:r>
        <w:rPr>
          <w:spacing w:val="-2"/>
        </w:rPr>
        <w:t xml:space="preserve">第四十二章  </w:t>
      </w:r>
      <w:r>
        <w:rPr>
          <w:rFonts w:ascii="黑体" w:hAnsi="黑体" w:eastAsia="黑体" w:cs="黑体"/>
          <w:b/>
          <w:bCs/>
          <w:spacing w:val="-2"/>
        </w:rPr>
        <w:t>培训与发展</w:t>
      </w:r>
    </w:p>
    <w:p w14:paraId="2F5A53DC">
      <w:pPr>
        <w:spacing w:before="223" w:line="353" w:lineRule="auto"/>
        <w:ind w:left="33" w:right="80" w:firstLine="570"/>
        <w:rPr>
          <w:rFonts w:ascii="仿宋" w:hAnsi="仿宋" w:eastAsia="仿宋" w:cs="仿宋"/>
          <w:sz w:val="28"/>
          <w:szCs w:val="28"/>
        </w:rPr>
      </w:pPr>
      <w:r>
        <w:rPr>
          <w:rFonts w:ascii="仿宋" w:hAnsi="仿宋" w:eastAsia="仿宋" w:cs="仿宋"/>
          <w:b/>
          <w:bCs/>
          <w:spacing w:val="-2"/>
          <w:sz w:val="28"/>
          <w:szCs w:val="28"/>
        </w:rPr>
        <w:t>第一百二十三条</w:t>
      </w:r>
      <w:r>
        <w:rPr>
          <w:rFonts w:ascii="仿宋" w:hAnsi="仿宋" w:eastAsia="仿宋" w:cs="仿宋"/>
          <w:spacing w:val="49"/>
          <w:sz w:val="28"/>
          <w:szCs w:val="28"/>
        </w:rPr>
        <w:t xml:space="preserve"> </w:t>
      </w:r>
      <w:r>
        <w:rPr>
          <w:rFonts w:ascii="仿宋" w:hAnsi="仿宋" w:eastAsia="仿宋" w:cs="仿宋"/>
          <w:spacing w:val="-2"/>
          <w:sz w:val="28"/>
          <w:szCs w:val="28"/>
        </w:rPr>
        <w:t>员工的培训应该在预算范围内，除非有特别的</w:t>
      </w:r>
      <w:r>
        <w:rPr>
          <w:rFonts w:ascii="仿宋" w:hAnsi="仿宋" w:eastAsia="仿宋" w:cs="仿宋"/>
          <w:sz w:val="28"/>
          <w:szCs w:val="28"/>
        </w:rPr>
        <w:t xml:space="preserve"> </w:t>
      </w:r>
      <w:r>
        <w:rPr>
          <w:rFonts w:ascii="仿宋" w:hAnsi="仿宋" w:eastAsia="仿宋" w:cs="仿宋"/>
          <w:spacing w:val="-1"/>
          <w:sz w:val="28"/>
          <w:szCs w:val="28"/>
        </w:rPr>
        <w:t>组织需求和发展机会，并经合适的授权。</w:t>
      </w:r>
    </w:p>
    <w:p w14:paraId="78C1DCF5">
      <w:pPr>
        <w:spacing w:before="48" w:line="365" w:lineRule="auto"/>
        <w:ind w:left="33" w:right="80" w:firstLine="570"/>
        <w:rPr>
          <w:rFonts w:ascii="仿宋" w:hAnsi="仿宋" w:eastAsia="仿宋" w:cs="仿宋"/>
          <w:sz w:val="28"/>
          <w:szCs w:val="28"/>
        </w:rPr>
      </w:pPr>
      <w:r>
        <w:rPr>
          <w:rFonts w:ascii="仿宋" w:hAnsi="仿宋" w:eastAsia="仿宋" w:cs="仿宋"/>
          <w:b/>
          <w:bCs/>
          <w:sz w:val="28"/>
          <w:szCs w:val="28"/>
        </w:rPr>
        <w:t>第一百二十四条</w:t>
      </w:r>
      <w:r>
        <w:rPr>
          <w:rFonts w:ascii="仿宋" w:hAnsi="仿宋" w:eastAsia="仿宋" w:cs="仿宋"/>
          <w:sz w:val="28"/>
          <w:szCs w:val="28"/>
        </w:rPr>
        <w:t xml:space="preserve"> 外部培训必须选择合适的培训课程</w:t>
      </w:r>
      <w:r>
        <w:rPr>
          <w:rFonts w:ascii="仿宋" w:hAnsi="仿宋" w:eastAsia="仿宋" w:cs="仿宋"/>
          <w:spacing w:val="-1"/>
          <w:sz w:val="28"/>
          <w:szCs w:val="28"/>
        </w:rPr>
        <w:t>及合适的受</w:t>
      </w:r>
      <w:r>
        <w:rPr>
          <w:rFonts w:ascii="仿宋" w:hAnsi="仿宋" w:eastAsia="仿宋" w:cs="仿宋"/>
          <w:sz w:val="28"/>
          <w:szCs w:val="28"/>
        </w:rPr>
        <w:t xml:space="preserve"> </w:t>
      </w:r>
      <w:r>
        <w:rPr>
          <w:rFonts w:ascii="仿宋" w:hAnsi="仿宋" w:eastAsia="仿宋" w:cs="仿宋"/>
          <w:spacing w:val="6"/>
          <w:sz w:val="28"/>
          <w:szCs w:val="28"/>
        </w:rPr>
        <w:t>训员工，从而能够帮助员工学习如何完成或者</w:t>
      </w:r>
      <w:r>
        <w:rPr>
          <w:rFonts w:ascii="仿宋" w:hAnsi="仿宋" w:eastAsia="仿宋" w:cs="仿宋"/>
          <w:spacing w:val="5"/>
          <w:sz w:val="28"/>
          <w:szCs w:val="28"/>
        </w:rPr>
        <w:t>更好地完成他们的工</w:t>
      </w:r>
      <w:r>
        <w:rPr>
          <w:rFonts w:ascii="仿宋" w:hAnsi="仿宋" w:eastAsia="仿宋" w:cs="仿宋"/>
          <w:sz w:val="28"/>
          <w:szCs w:val="28"/>
        </w:rPr>
        <w:t xml:space="preserve"> </w:t>
      </w:r>
      <w:r>
        <w:rPr>
          <w:rFonts w:ascii="仿宋" w:hAnsi="仿宋" w:eastAsia="仿宋" w:cs="仿宋"/>
          <w:spacing w:val="1"/>
          <w:sz w:val="28"/>
          <w:szCs w:val="28"/>
        </w:rPr>
        <w:t>作；鼓励员工学习新的技能或者提 高现有的技能、工作</w:t>
      </w:r>
      <w:r>
        <w:rPr>
          <w:rFonts w:ascii="仿宋" w:hAnsi="仿宋" w:eastAsia="仿宋" w:cs="仿宋"/>
          <w:sz w:val="28"/>
          <w:szCs w:val="28"/>
        </w:rPr>
        <w:t xml:space="preserve">知识、工作 </w:t>
      </w:r>
      <w:r>
        <w:rPr>
          <w:rFonts w:ascii="仿宋" w:hAnsi="仿宋" w:eastAsia="仿宋" w:cs="仿宋"/>
          <w:spacing w:val="-4"/>
          <w:sz w:val="28"/>
          <w:szCs w:val="28"/>
        </w:rPr>
        <w:t>效率和态度；为保证组织内的良好业绩和组织发展，适应外部相关事</w:t>
      </w:r>
      <w:r>
        <w:rPr>
          <w:rFonts w:ascii="仿宋" w:hAnsi="仿宋" w:eastAsia="仿宋" w:cs="仿宋"/>
          <w:spacing w:val="5"/>
          <w:sz w:val="28"/>
          <w:szCs w:val="28"/>
        </w:rPr>
        <w:t xml:space="preserve"> </w:t>
      </w:r>
      <w:r>
        <w:rPr>
          <w:rFonts w:ascii="仿宋" w:hAnsi="仿宋" w:eastAsia="仿宋" w:cs="仿宋"/>
          <w:spacing w:val="-4"/>
          <w:sz w:val="28"/>
          <w:szCs w:val="28"/>
        </w:rPr>
        <w:t>物的变化；训练员工应对来自内部和外部的变化，如政策、实践、竞</w:t>
      </w:r>
      <w:r>
        <w:rPr>
          <w:rFonts w:ascii="仿宋" w:hAnsi="仿宋" w:eastAsia="仿宋" w:cs="仿宋"/>
          <w:spacing w:val="5"/>
          <w:sz w:val="28"/>
          <w:szCs w:val="28"/>
        </w:rPr>
        <w:t xml:space="preserve"> </w:t>
      </w:r>
      <w:r>
        <w:rPr>
          <w:rFonts w:ascii="仿宋" w:hAnsi="仿宋" w:eastAsia="仿宋" w:cs="仿宋"/>
          <w:spacing w:val="-4"/>
          <w:sz w:val="28"/>
          <w:szCs w:val="28"/>
        </w:rPr>
        <w:t>争和环境等；加强理解并承担基金会的使命和价值，发展方法，以及</w:t>
      </w:r>
      <w:r>
        <w:rPr>
          <w:rFonts w:ascii="仿宋" w:hAnsi="仿宋" w:eastAsia="仿宋" w:cs="仿宋"/>
          <w:spacing w:val="5"/>
          <w:sz w:val="28"/>
          <w:szCs w:val="28"/>
        </w:rPr>
        <w:t xml:space="preserve"> </w:t>
      </w:r>
      <w:r>
        <w:rPr>
          <w:rFonts w:ascii="仿宋" w:hAnsi="仿宋" w:eastAsia="仿宋" w:cs="仿宋"/>
          <w:spacing w:val="-1"/>
          <w:sz w:val="28"/>
          <w:szCs w:val="28"/>
        </w:rPr>
        <w:t>能促进基金会高标准和良好实践的活动与成就。</w:t>
      </w:r>
    </w:p>
    <w:p w14:paraId="1C8553F7">
      <w:pPr>
        <w:spacing w:before="47" w:line="354" w:lineRule="auto"/>
        <w:ind w:left="54" w:right="80" w:firstLine="549"/>
        <w:rPr>
          <w:rFonts w:ascii="仿宋" w:hAnsi="仿宋" w:eastAsia="仿宋" w:cs="仿宋"/>
          <w:sz w:val="28"/>
          <w:szCs w:val="28"/>
        </w:rPr>
      </w:pPr>
      <w:r>
        <w:rPr>
          <w:rFonts w:ascii="仿宋" w:hAnsi="仿宋" w:eastAsia="仿宋" w:cs="仿宋"/>
          <w:b/>
          <w:bCs/>
          <w:sz w:val="28"/>
          <w:szCs w:val="28"/>
        </w:rPr>
        <w:t>第一百二十五条</w:t>
      </w:r>
      <w:r>
        <w:rPr>
          <w:rFonts w:ascii="仿宋" w:hAnsi="仿宋" w:eastAsia="仿宋" w:cs="仿宋"/>
          <w:sz w:val="28"/>
          <w:szCs w:val="28"/>
        </w:rPr>
        <w:t xml:space="preserve"> 为新员工和合作伙伴做定向培训（</w:t>
      </w:r>
      <w:r>
        <w:rPr>
          <w:rFonts w:ascii="仿宋" w:hAnsi="仿宋" w:eastAsia="仿宋" w:cs="仿宋"/>
          <w:spacing w:val="-1"/>
          <w:sz w:val="28"/>
          <w:szCs w:val="28"/>
        </w:rPr>
        <w:t>详见基金会</w:t>
      </w:r>
      <w:r>
        <w:rPr>
          <w:rFonts w:ascii="仿宋" w:hAnsi="仿宋" w:eastAsia="仿宋" w:cs="仿宋"/>
          <w:sz w:val="28"/>
          <w:szCs w:val="28"/>
        </w:rPr>
        <w:t xml:space="preserve"> </w:t>
      </w:r>
      <w:r>
        <w:rPr>
          <w:rFonts w:ascii="仿宋" w:hAnsi="仿宋" w:eastAsia="仿宋" w:cs="仿宋"/>
          <w:spacing w:val="-6"/>
          <w:sz w:val="28"/>
          <w:szCs w:val="28"/>
        </w:rPr>
        <w:t>员工发展手册）。</w:t>
      </w:r>
    </w:p>
    <w:p w14:paraId="4B00CDE8">
      <w:pPr>
        <w:pStyle w:val="2"/>
        <w:spacing w:before="46" w:line="222" w:lineRule="auto"/>
        <w:ind w:left="2213"/>
        <w:rPr>
          <w:rFonts w:ascii="黑体" w:hAnsi="黑体" w:eastAsia="黑体" w:cs="黑体"/>
        </w:rPr>
      </w:pPr>
      <w:r>
        <w:rPr>
          <w:spacing w:val="-2"/>
        </w:rPr>
        <w:t xml:space="preserve">第四十三章  </w:t>
      </w:r>
      <w:r>
        <w:rPr>
          <w:rFonts w:ascii="黑体" w:hAnsi="黑体" w:eastAsia="黑体" w:cs="黑体"/>
          <w:b/>
          <w:bCs/>
          <w:spacing w:val="-2"/>
        </w:rPr>
        <w:t>调出、辞职、辞退</w:t>
      </w:r>
    </w:p>
    <w:p w14:paraId="4B8BA5DC">
      <w:pPr>
        <w:spacing w:before="222" w:line="361" w:lineRule="auto"/>
        <w:ind w:left="32" w:right="80" w:firstLine="571"/>
        <w:jc w:val="both"/>
        <w:rPr>
          <w:rFonts w:ascii="仿宋" w:hAnsi="仿宋" w:eastAsia="仿宋" w:cs="仿宋"/>
          <w:sz w:val="28"/>
          <w:szCs w:val="28"/>
        </w:rPr>
      </w:pPr>
      <w:r>
        <w:rPr>
          <w:rFonts w:ascii="仿宋" w:hAnsi="仿宋" w:eastAsia="仿宋" w:cs="仿宋"/>
          <w:b/>
          <w:bCs/>
          <w:spacing w:val="-2"/>
          <w:sz w:val="28"/>
          <w:szCs w:val="28"/>
        </w:rPr>
        <w:t>第一百二十六条</w:t>
      </w:r>
      <w:r>
        <w:rPr>
          <w:rFonts w:ascii="仿宋" w:hAnsi="仿宋" w:eastAsia="仿宋" w:cs="仿宋"/>
          <w:spacing w:val="49"/>
          <w:sz w:val="28"/>
          <w:szCs w:val="28"/>
        </w:rPr>
        <w:t xml:space="preserve"> </w:t>
      </w:r>
      <w:r>
        <w:rPr>
          <w:rFonts w:ascii="仿宋" w:hAnsi="仿宋" w:eastAsia="仿宋" w:cs="仿宋"/>
          <w:spacing w:val="-2"/>
          <w:sz w:val="28"/>
          <w:szCs w:val="28"/>
        </w:rPr>
        <w:t>员工必须服从组织安排，遵守国家法律、法规</w:t>
      </w:r>
      <w:r>
        <w:rPr>
          <w:rFonts w:ascii="仿宋" w:hAnsi="仿宋" w:eastAsia="仿宋" w:cs="仿宋"/>
          <w:sz w:val="28"/>
          <w:szCs w:val="28"/>
        </w:rPr>
        <w:t xml:space="preserve"> </w:t>
      </w:r>
      <w:r>
        <w:rPr>
          <w:rFonts w:ascii="仿宋" w:hAnsi="仿宋" w:eastAsia="仿宋" w:cs="仿宋"/>
          <w:spacing w:val="-4"/>
          <w:sz w:val="28"/>
          <w:szCs w:val="28"/>
        </w:rPr>
        <w:t>和基金会各项规章制度，对有违法违纪行为的员工，基金会有权予以</w:t>
      </w:r>
      <w:r>
        <w:rPr>
          <w:rFonts w:ascii="仿宋" w:hAnsi="仿宋" w:eastAsia="仿宋" w:cs="仿宋"/>
          <w:spacing w:val="7"/>
          <w:sz w:val="28"/>
          <w:szCs w:val="28"/>
        </w:rPr>
        <w:t xml:space="preserve"> </w:t>
      </w:r>
      <w:r>
        <w:rPr>
          <w:rFonts w:ascii="仿宋" w:hAnsi="仿宋" w:eastAsia="仿宋" w:cs="仿宋"/>
          <w:spacing w:val="-4"/>
          <w:sz w:val="28"/>
          <w:szCs w:val="28"/>
        </w:rPr>
        <w:t>解聘、辞退。被辞退的员工在接到辞退通知后，应当在一个月内办完</w:t>
      </w:r>
      <w:r>
        <w:rPr>
          <w:rFonts w:ascii="仿宋" w:hAnsi="仿宋" w:eastAsia="仿宋" w:cs="仿宋"/>
          <w:spacing w:val="7"/>
          <w:sz w:val="28"/>
          <w:szCs w:val="28"/>
        </w:rPr>
        <w:t xml:space="preserve"> </w:t>
      </w:r>
      <w:r>
        <w:rPr>
          <w:rFonts w:ascii="仿宋" w:hAnsi="仿宋" w:eastAsia="仿宋" w:cs="仿宋"/>
          <w:spacing w:val="-2"/>
          <w:sz w:val="28"/>
          <w:szCs w:val="28"/>
        </w:rPr>
        <w:t>工作交接，基金会为其出具离职证明。</w:t>
      </w:r>
    </w:p>
    <w:p w14:paraId="23B8DCAD">
      <w:pPr>
        <w:spacing w:before="51" w:line="353" w:lineRule="auto"/>
        <w:ind w:left="38" w:right="80" w:firstLine="565"/>
        <w:rPr>
          <w:rFonts w:ascii="仿宋" w:hAnsi="仿宋" w:eastAsia="仿宋" w:cs="仿宋"/>
          <w:sz w:val="28"/>
          <w:szCs w:val="28"/>
        </w:rPr>
      </w:pPr>
      <w:r>
        <w:rPr>
          <w:rFonts w:ascii="仿宋" w:hAnsi="仿宋" w:eastAsia="仿宋" w:cs="仿宋"/>
          <w:b/>
          <w:bCs/>
          <w:spacing w:val="-2"/>
          <w:sz w:val="28"/>
          <w:szCs w:val="28"/>
        </w:rPr>
        <w:t>第一百二十七条</w:t>
      </w:r>
      <w:r>
        <w:rPr>
          <w:rFonts w:ascii="仿宋" w:hAnsi="仿宋" w:eastAsia="仿宋" w:cs="仿宋"/>
          <w:spacing w:val="49"/>
          <w:sz w:val="28"/>
          <w:szCs w:val="28"/>
        </w:rPr>
        <w:t xml:space="preserve"> </w:t>
      </w:r>
      <w:r>
        <w:rPr>
          <w:rFonts w:ascii="仿宋" w:hAnsi="仿宋" w:eastAsia="仿宋" w:cs="仿宋"/>
          <w:spacing w:val="-2"/>
          <w:sz w:val="28"/>
          <w:szCs w:val="28"/>
        </w:rPr>
        <w:t>员工在合同期内辞职，应当提前一个月提交书</w:t>
      </w:r>
      <w:r>
        <w:rPr>
          <w:rFonts w:ascii="仿宋" w:hAnsi="仿宋" w:eastAsia="仿宋" w:cs="仿宋"/>
          <w:sz w:val="28"/>
          <w:szCs w:val="28"/>
        </w:rPr>
        <w:t xml:space="preserve"> </w:t>
      </w:r>
      <w:r>
        <w:rPr>
          <w:rFonts w:ascii="仿宋" w:hAnsi="仿宋" w:eastAsia="仿宋" w:cs="仿宋"/>
          <w:spacing w:val="-4"/>
          <w:sz w:val="28"/>
          <w:szCs w:val="28"/>
        </w:rPr>
        <w:t>面辞职报告，并按本制度规定的员工管理权限办理交接手续；如遇特</w:t>
      </w:r>
    </w:p>
    <w:p w14:paraId="3346C7EE">
      <w:pPr>
        <w:spacing w:line="353" w:lineRule="auto"/>
        <w:rPr>
          <w:rFonts w:ascii="仿宋" w:hAnsi="仿宋" w:eastAsia="仿宋" w:cs="仿宋"/>
          <w:sz w:val="28"/>
          <w:szCs w:val="28"/>
        </w:rPr>
        <w:sectPr>
          <w:pgSz w:w="11906" w:h="16839"/>
          <w:pgMar w:top="400" w:right="1718" w:bottom="400" w:left="1785" w:header="0" w:footer="850" w:gutter="0"/>
          <w:pgNumType w:fmt="decimal"/>
          <w:cols w:space="720" w:num="1"/>
        </w:sectPr>
      </w:pPr>
    </w:p>
    <w:p w14:paraId="46A65E4A">
      <w:pPr>
        <w:spacing w:line="287" w:lineRule="auto"/>
        <w:rPr>
          <w:rFonts w:ascii="Arial"/>
          <w:sz w:val="21"/>
        </w:rPr>
      </w:pPr>
    </w:p>
    <w:p w14:paraId="0C594A76">
      <w:pPr>
        <w:spacing w:line="287" w:lineRule="auto"/>
        <w:rPr>
          <w:rFonts w:ascii="Arial"/>
          <w:sz w:val="21"/>
        </w:rPr>
      </w:pPr>
    </w:p>
    <w:p w14:paraId="7A69CE41">
      <w:pPr>
        <w:spacing w:line="287" w:lineRule="auto"/>
        <w:rPr>
          <w:rFonts w:ascii="Arial"/>
          <w:sz w:val="21"/>
        </w:rPr>
      </w:pPr>
    </w:p>
    <w:p w14:paraId="50047620">
      <w:pPr>
        <w:spacing w:line="287" w:lineRule="auto"/>
        <w:rPr>
          <w:rFonts w:ascii="Arial"/>
          <w:sz w:val="21"/>
        </w:rPr>
      </w:pPr>
    </w:p>
    <w:p w14:paraId="3ACB15BE">
      <w:pPr>
        <w:spacing w:before="91" w:line="222" w:lineRule="auto"/>
        <w:ind w:left="136"/>
        <w:rPr>
          <w:rFonts w:ascii="仿宋" w:hAnsi="仿宋" w:eastAsia="仿宋" w:cs="仿宋"/>
          <w:sz w:val="28"/>
          <w:szCs w:val="28"/>
        </w:rPr>
      </w:pPr>
      <w:r>
        <w:rPr>
          <w:rFonts w:ascii="仿宋" w:hAnsi="仿宋" w:eastAsia="仿宋" w:cs="仿宋"/>
          <w:spacing w:val="-1"/>
          <w:sz w:val="28"/>
          <w:szCs w:val="28"/>
        </w:rPr>
        <w:t>殊情况，可以按劳动合同中的有关规定处理。</w:t>
      </w:r>
    </w:p>
    <w:p w14:paraId="40412451">
      <w:pPr>
        <w:spacing w:before="223" w:line="362" w:lineRule="auto"/>
        <w:ind w:left="142" w:right="13" w:firstLine="567"/>
        <w:jc w:val="both"/>
        <w:rPr>
          <w:rFonts w:ascii="仿宋" w:hAnsi="仿宋" w:eastAsia="仿宋" w:cs="仿宋"/>
          <w:sz w:val="28"/>
          <w:szCs w:val="28"/>
        </w:rPr>
      </w:pPr>
      <w:r>
        <w:rPr>
          <w:rFonts w:ascii="仿宋" w:hAnsi="仿宋" w:eastAsia="仿宋" w:cs="仿宋"/>
          <w:b/>
          <w:bCs/>
          <w:spacing w:val="-2"/>
          <w:sz w:val="28"/>
          <w:szCs w:val="28"/>
        </w:rPr>
        <w:t>第一百二十八条</w:t>
      </w:r>
      <w:r>
        <w:rPr>
          <w:rFonts w:ascii="仿宋" w:hAnsi="仿宋" w:eastAsia="仿宋" w:cs="仿宋"/>
          <w:spacing w:val="49"/>
          <w:sz w:val="28"/>
          <w:szCs w:val="28"/>
        </w:rPr>
        <w:t xml:space="preserve"> </w:t>
      </w:r>
      <w:r>
        <w:rPr>
          <w:rFonts w:ascii="仿宋" w:hAnsi="仿宋" w:eastAsia="仿宋" w:cs="仿宋"/>
          <w:spacing w:val="-2"/>
          <w:sz w:val="28"/>
          <w:szCs w:val="28"/>
        </w:rPr>
        <w:t>员工严重违反规章制度，或因其故意或过失导</w:t>
      </w:r>
      <w:r>
        <w:rPr>
          <w:rFonts w:ascii="仿宋" w:hAnsi="仿宋" w:eastAsia="仿宋" w:cs="仿宋"/>
          <w:sz w:val="28"/>
          <w:szCs w:val="28"/>
        </w:rPr>
        <w:t xml:space="preserve"> </w:t>
      </w:r>
      <w:r>
        <w:rPr>
          <w:rFonts w:ascii="仿宋" w:hAnsi="仿宋" w:eastAsia="仿宋" w:cs="仿宋"/>
          <w:spacing w:val="-4"/>
          <w:sz w:val="28"/>
          <w:szCs w:val="28"/>
        </w:rPr>
        <w:t>致严重后果或者存在违法行为的，基金会有权立即解除劳动合同且无</w:t>
      </w:r>
      <w:r>
        <w:rPr>
          <w:rFonts w:ascii="仿宋" w:hAnsi="仿宋" w:eastAsia="仿宋" w:cs="仿宋"/>
          <w:spacing w:val="3"/>
          <w:sz w:val="28"/>
          <w:szCs w:val="28"/>
        </w:rPr>
        <w:t xml:space="preserve"> </w:t>
      </w:r>
      <w:r>
        <w:rPr>
          <w:rFonts w:ascii="仿宋" w:hAnsi="仿宋" w:eastAsia="仿宋" w:cs="仿宋"/>
          <w:spacing w:val="-4"/>
          <w:sz w:val="28"/>
          <w:szCs w:val="28"/>
        </w:rPr>
        <w:t>需支付任何补偿；如因其行为导致受益对象损失、或者导致基金会遭</w:t>
      </w:r>
      <w:r>
        <w:rPr>
          <w:rFonts w:ascii="仿宋" w:hAnsi="仿宋" w:eastAsia="仿宋" w:cs="仿宋"/>
          <w:spacing w:val="3"/>
          <w:sz w:val="28"/>
          <w:szCs w:val="28"/>
        </w:rPr>
        <w:t xml:space="preserve"> </w:t>
      </w:r>
      <w:r>
        <w:rPr>
          <w:rFonts w:ascii="仿宋" w:hAnsi="仿宋" w:eastAsia="仿宋" w:cs="仿宋"/>
          <w:spacing w:val="-2"/>
          <w:sz w:val="28"/>
          <w:szCs w:val="28"/>
        </w:rPr>
        <w:t>受损失的，该员工应当足额赔偿。</w:t>
      </w:r>
    </w:p>
    <w:p w14:paraId="381F3201">
      <w:pPr>
        <w:spacing w:before="41" w:line="363" w:lineRule="auto"/>
        <w:ind w:right="13" w:firstLine="709"/>
        <w:rPr>
          <w:rFonts w:ascii="仿宋" w:hAnsi="仿宋" w:eastAsia="仿宋" w:cs="仿宋"/>
          <w:sz w:val="28"/>
          <w:szCs w:val="28"/>
        </w:rPr>
      </w:pPr>
      <w:r>
        <w:rPr>
          <w:rFonts w:ascii="仿宋" w:hAnsi="仿宋" w:eastAsia="仿宋" w:cs="仿宋"/>
          <w:b/>
          <w:bCs/>
          <w:spacing w:val="-2"/>
          <w:sz w:val="28"/>
          <w:szCs w:val="28"/>
        </w:rPr>
        <w:t>第一百二十九条</w:t>
      </w:r>
      <w:r>
        <w:rPr>
          <w:rFonts w:ascii="仿宋" w:hAnsi="仿宋" w:eastAsia="仿宋" w:cs="仿宋"/>
          <w:spacing w:val="49"/>
          <w:sz w:val="28"/>
          <w:szCs w:val="28"/>
        </w:rPr>
        <w:t xml:space="preserve"> </w:t>
      </w:r>
      <w:r>
        <w:rPr>
          <w:rFonts w:ascii="仿宋" w:hAnsi="仿宋" w:eastAsia="仿宋" w:cs="仿宋"/>
          <w:spacing w:val="-2"/>
          <w:sz w:val="28"/>
          <w:szCs w:val="28"/>
        </w:rPr>
        <w:t>员工无论何种原因离职均应办理工作交接手续</w:t>
      </w:r>
      <w:r>
        <w:rPr>
          <w:rFonts w:ascii="仿宋" w:hAnsi="仿宋" w:eastAsia="仿宋" w:cs="仿宋"/>
          <w:sz w:val="28"/>
          <w:szCs w:val="28"/>
        </w:rPr>
        <w:t xml:space="preserve"> </w:t>
      </w:r>
      <w:r>
        <w:rPr>
          <w:rFonts w:ascii="仿宋" w:hAnsi="仿宋" w:eastAsia="仿宋" w:cs="仿宋"/>
          <w:spacing w:val="1"/>
          <w:sz w:val="28"/>
          <w:szCs w:val="28"/>
        </w:rPr>
        <w:t>（包括但不限于结清款项、提交完整项目资料、交接</w:t>
      </w:r>
      <w:r>
        <w:rPr>
          <w:rFonts w:ascii="仿宋" w:hAnsi="仿宋" w:eastAsia="仿宋" w:cs="仿宋"/>
          <w:sz w:val="28"/>
          <w:szCs w:val="28"/>
        </w:rPr>
        <w:t>未结工作等</w:t>
      </w:r>
      <w:r>
        <w:rPr>
          <w:rFonts w:ascii="仿宋" w:hAnsi="仿宋" w:eastAsia="仿宋" w:cs="仿宋"/>
          <w:spacing w:val="1"/>
          <w:sz w:val="28"/>
          <w:szCs w:val="28"/>
        </w:rPr>
        <w:t>），</w:t>
      </w:r>
      <w:r>
        <w:rPr>
          <w:rFonts w:ascii="仿宋" w:hAnsi="仿宋" w:eastAsia="仿宋" w:cs="仿宋"/>
          <w:sz w:val="28"/>
          <w:szCs w:val="28"/>
        </w:rPr>
        <w:t xml:space="preserve"> </w:t>
      </w:r>
      <w:r>
        <w:rPr>
          <w:rFonts w:ascii="仿宋" w:hAnsi="仿宋" w:eastAsia="仿宋" w:cs="仿宋"/>
          <w:spacing w:val="1"/>
          <w:sz w:val="28"/>
          <w:szCs w:val="28"/>
        </w:rPr>
        <w:t>经各部门交接人确认并报秘书长同意后，秘书处方可为其</w:t>
      </w:r>
      <w:r>
        <w:rPr>
          <w:rFonts w:ascii="仿宋" w:hAnsi="仿宋" w:eastAsia="仿宋" w:cs="仿宋"/>
          <w:sz w:val="28"/>
          <w:szCs w:val="28"/>
        </w:rPr>
        <w:t xml:space="preserve">结算离职工 </w:t>
      </w:r>
      <w:r>
        <w:rPr>
          <w:rFonts w:ascii="仿宋" w:hAnsi="仿宋" w:eastAsia="仿宋" w:cs="仿宋"/>
          <w:spacing w:val="1"/>
          <w:sz w:val="28"/>
          <w:szCs w:val="28"/>
        </w:rPr>
        <w:t>资和出具离职证明；否则不予结算和出具证明。员工一旦</w:t>
      </w:r>
      <w:r>
        <w:rPr>
          <w:rFonts w:ascii="仿宋" w:hAnsi="仿宋" w:eastAsia="仿宋" w:cs="仿宋"/>
          <w:sz w:val="28"/>
          <w:szCs w:val="28"/>
        </w:rPr>
        <w:t xml:space="preserve">办理离职手 </w:t>
      </w:r>
      <w:r>
        <w:rPr>
          <w:rFonts w:ascii="仿宋" w:hAnsi="仿宋" w:eastAsia="仿宋" w:cs="仿宋"/>
          <w:spacing w:val="5"/>
          <w:sz w:val="28"/>
          <w:szCs w:val="28"/>
        </w:rPr>
        <w:t>续，就不再享受基金会的薪酬及有关福利待遇。</w:t>
      </w:r>
    </w:p>
    <w:p w14:paraId="1D009600">
      <w:pPr>
        <w:spacing w:before="50" w:line="221" w:lineRule="auto"/>
        <w:ind w:left="709"/>
        <w:rPr>
          <w:rFonts w:ascii="仿宋" w:hAnsi="仿宋" w:eastAsia="仿宋" w:cs="仿宋"/>
          <w:sz w:val="28"/>
          <w:szCs w:val="28"/>
        </w:rPr>
      </w:pPr>
      <w:r>
        <w:rPr>
          <w:rFonts w:ascii="仿宋" w:hAnsi="仿宋" w:eastAsia="仿宋" w:cs="仿宋"/>
          <w:b/>
          <w:bCs/>
          <w:spacing w:val="-2"/>
          <w:sz w:val="28"/>
          <w:szCs w:val="28"/>
        </w:rPr>
        <w:t>第一百三十条</w:t>
      </w:r>
      <w:r>
        <w:rPr>
          <w:rFonts w:ascii="仿宋" w:hAnsi="仿宋" w:eastAsia="仿宋" w:cs="仿宋"/>
          <w:spacing w:val="-2"/>
          <w:sz w:val="28"/>
          <w:szCs w:val="28"/>
        </w:rPr>
        <w:t xml:space="preserve"> 基金会理事长、秘书长离任必须经过审计。</w:t>
      </w:r>
    </w:p>
    <w:p w14:paraId="2D09E8A7">
      <w:pPr>
        <w:spacing w:before="223" w:line="353" w:lineRule="auto"/>
        <w:ind w:left="146" w:right="13" w:firstLine="563"/>
        <w:rPr>
          <w:rFonts w:ascii="仿宋" w:hAnsi="仿宋" w:eastAsia="仿宋" w:cs="仿宋"/>
          <w:sz w:val="28"/>
          <w:szCs w:val="28"/>
        </w:rPr>
      </w:pPr>
      <w:r>
        <w:rPr>
          <w:rFonts w:ascii="仿宋" w:hAnsi="仿宋" w:eastAsia="仿宋" w:cs="仿宋"/>
          <w:b/>
          <w:bCs/>
          <w:spacing w:val="-2"/>
          <w:sz w:val="28"/>
          <w:szCs w:val="28"/>
        </w:rPr>
        <w:t>第一百三十一条</w:t>
      </w:r>
      <w:r>
        <w:rPr>
          <w:rFonts w:ascii="仿宋" w:hAnsi="仿宋" w:eastAsia="仿宋" w:cs="仿宋"/>
          <w:spacing w:val="49"/>
          <w:sz w:val="28"/>
          <w:szCs w:val="28"/>
        </w:rPr>
        <w:t xml:space="preserve"> </w:t>
      </w:r>
      <w:r>
        <w:rPr>
          <w:rFonts w:ascii="仿宋" w:hAnsi="仿宋" w:eastAsia="仿宋" w:cs="仿宋"/>
          <w:spacing w:val="-2"/>
          <w:sz w:val="28"/>
          <w:szCs w:val="28"/>
        </w:rPr>
        <w:t>员工有下列情形之一的，基金会可以解除劳动</w:t>
      </w:r>
      <w:r>
        <w:rPr>
          <w:rFonts w:ascii="仿宋" w:hAnsi="仿宋" w:eastAsia="仿宋" w:cs="仿宋"/>
          <w:sz w:val="28"/>
          <w:szCs w:val="28"/>
        </w:rPr>
        <w:t xml:space="preserve"> </w:t>
      </w:r>
      <w:r>
        <w:rPr>
          <w:rFonts w:ascii="仿宋" w:hAnsi="仿宋" w:eastAsia="仿宋" w:cs="仿宋"/>
          <w:spacing w:val="-3"/>
          <w:sz w:val="28"/>
          <w:szCs w:val="28"/>
        </w:rPr>
        <w:t>合同并无需进行经济补偿：</w:t>
      </w:r>
    </w:p>
    <w:p w14:paraId="7F550FC6">
      <w:pPr>
        <w:spacing w:before="52" w:line="353" w:lineRule="auto"/>
        <w:ind w:left="692" w:right="2780" w:firstLine="17"/>
        <w:rPr>
          <w:rFonts w:ascii="仿宋" w:hAnsi="仿宋" w:eastAsia="仿宋" w:cs="仿宋"/>
          <w:sz w:val="28"/>
          <w:szCs w:val="28"/>
        </w:rPr>
      </w:pPr>
      <w:r>
        <w:rPr>
          <w:rFonts w:ascii="仿宋" w:hAnsi="仿宋" w:eastAsia="仿宋" w:cs="仿宋"/>
          <w:spacing w:val="-5"/>
          <w:sz w:val="28"/>
          <w:szCs w:val="28"/>
        </w:rPr>
        <w:t>1.在试用期间被证明不符合录用条件的；</w:t>
      </w:r>
      <w:r>
        <w:rPr>
          <w:rFonts w:ascii="仿宋" w:hAnsi="仿宋" w:eastAsia="仿宋" w:cs="仿宋"/>
          <w:spacing w:val="3"/>
          <w:sz w:val="28"/>
          <w:szCs w:val="28"/>
        </w:rPr>
        <w:t xml:space="preserve"> </w:t>
      </w:r>
      <w:r>
        <w:rPr>
          <w:rFonts w:ascii="仿宋" w:hAnsi="仿宋" w:eastAsia="仿宋" w:cs="仿宋"/>
          <w:spacing w:val="-4"/>
          <w:sz w:val="28"/>
          <w:szCs w:val="28"/>
        </w:rPr>
        <w:t>2.违反劳动纪律或者基金会规章制度的；</w:t>
      </w:r>
    </w:p>
    <w:p w14:paraId="6F051AB9">
      <w:pPr>
        <w:spacing w:before="47" w:line="355" w:lineRule="auto"/>
        <w:ind w:left="688" w:right="822" w:firstLine="6"/>
        <w:rPr>
          <w:rFonts w:ascii="仿宋" w:hAnsi="仿宋" w:eastAsia="仿宋" w:cs="仿宋"/>
          <w:sz w:val="28"/>
          <w:szCs w:val="28"/>
        </w:rPr>
      </w:pPr>
      <w:r>
        <w:rPr>
          <w:rFonts w:ascii="仿宋" w:hAnsi="仿宋" w:eastAsia="仿宋" w:cs="仿宋"/>
          <w:spacing w:val="-3"/>
          <w:sz w:val="28"/>
          <w:szCs w:val="28"/>
        </w:rPr>
        <w:t>3.严重失职，营私舞弊，对基金会利益造成重大损害的；</w:t>
      </w:r>
      <w:r>
        <w:rPr>
          <w:rFonts w:ascii="仿宋" w:hAnsi="仿宋" w:eastAsia="仿宋" w:cs="仿宋"/>
          <w:sz w:val="28"/>
          <w:szCs w:val="28"/>
        </w:rPr>
        <w:t xml:space="preserve"> </w:t>
      </w:r>
      <w:r>
        <w:rPr>
          <w:rFonts w:ascii="仿宋" w:hAnsi="仿宋" w:eastAsia="仿宋" w:cs="仿宋"/>
          <w:spacing w:val="-1"/>
          <w:sz w:val="28"/>
          <w:szCs w:val="28"/>
        </w:rPr>
        <w:t>4.被依法追究刑事责任的；</w:t>
      </w:r>
    </w:p>
    <w:p w14:paraId="11127116">
      <w:pPr>
        <w:spacing w:before="43" w:line="354" w:lineRule="auto"/>
        <w:ind w:left="145" w:right="15" w:firstLine="549"/>
        <w:rPr>
          <w:rFonts w:ascii="仿宋" w:hAnsi="仿宋" w:eastAsia="仿宋" w:cs="仿宋"/>
          <w:sz w:val="28"/>
          <w:szCs w:val="28"/>
        </w:rPr>
      </w:pPr>
      <w:r>
        <w:rPr>
          <w:rFonts w:ascii="仿宋" w:hAnsi="仿宋" w:eastAsia="仿宋" w:cs="仿宋"/>
          <w:spacing w:val="6"/>
          <w:sz w:val="28"/>
          <w:szCs w:val="28"/>
        </w:rPr>
        <w:t>5.入职一个月内基金会通知签署劳动合同但员工无正当理由拒</w:t>
      </w:r>
      <w:r>
        <w:rPr>
          <w:rFonts w:ascii="仿宋" w:hAnsi="仿宋" w:eastAsia="仿宋" w:cs="仿宋"/>
          <w:sz w:val="28"/>
          <w:szCs w:val="28"/>
        </w:rPr>
        <w:t xml:space="preserve"> </w:t>
      </w:r>
      <w:r>
        <w:rPr>
          <w:rFonts w:ascii="仿宋" w:hAnsi="仿宋" w:eastAsia="仿宋" w:cs="仿宋"/>
          <w:spacing w:val="-5"/>
          <w:sz w:val="28"/>
          <w:szCs w:val="28"/>
        </w:rPr>
        <w:t>不签署的；</w:t>
      </w:r>
    </w:p>
    <w:p w14:paraId="7F3831A1">
      <w:pPr>
        <w:spacing w:before="48" w:line="222" w:lineRule="auto"/>
        <w:ind w:left="691"/>
        <w:rPr>
          <w:rFonts w:ascii="仿宋" w:hAnsi="仿宋" w:eastAsia="仿宋" w:cs="仿宋"/>
          <w:sz w:val="28"/>
          <w:szCs w:val="28"/>
        </w:rPr>
      </w:pPr>
      <w:r>
        <w:rPr>
          <w:rFonts w:ascii="仿宋" w:hAnsi="仿宋" w:eastAsia="仿宋" w:cs="仿宋"/>
          <w:spacing w:val="-1"/>
          <w:sz w:val="28"/>
          <w:szCs w:val="28"/>
        </w:rPr>
        <w:t>6.劳动合同规定的其他情形。</w:t>
      </w:r>
    </w:p>
    <w:p w14:paraId="14CCA245">
      <w:pPr>
        <w:pStyle w:val="2"/>
        <w:spacing w:before="222" w:line="222" w:lineRule="auto"/>
        <w:ind w:left="3162"/>
        <w:rPr>
          <w:rFonts w:ascii="黑体" w:hAnsi="黑体" w:eastAsia="黑体" w:cs="黑体"/>
        </w:rPr>
      </w:pPr>
      <w:r>
        <w:rPr>
          <w:spacing w:val="-2"/>
        </w:rPr>
        <w:t xml:space="preserve">第四十四章  </w:t>
      </w:r>
      <w:r>
        <w:rPr>
          <w:rFonts w:ascii="黑体" w:hAnsi="黑体" w:eastAsia="黑体" w:cs="黑体"/>
          <w:b/>
          <w:bCs/>
          <w:spacing w:val="-2"/>
        </w:rPr>
        <w:t>其他</w:t>
      </w:r>
    </w:p>
    <w:p w14:paraId="2973BF90">
      <w:pPr>
        <w:spacing w:before="223" w:line="353" w:lineRule="auto"/>
        <w:ind w:left="138" w:right="13" w:firstLine="571"/>
        <w:rPr>
          <w:rFonts w:ascii="仿宋" w:hAnsi="仿宋" w:eastAsia="仿宋" w:cs="仿宋"/>
          <w:sz w:val="28"/>
          <w:szCs w:val="28"/>
        </w:rPr>
      </w:pPr>
      <w:r>
        <w:rPr>
          <w:rFonts w:ascii="仿宋" w:hAnsi="仿宋" w:eastAsia="仿宋" w:cs="仿宋"/>
          <w:b/>
          <w:bCs/>
          <w:sz w:val="28"/>
          <w:szCs w:val="28"/>
        </w:rPr>
        <w:t>第一百三十二条</w:t>
      </w:r>
      <w:r>
        <w:rPr>
          <w:rFonts w:ascii="仿宋" w:hAnsi="仿宋" w:eastAsia="仿宋" w:cs="仿宋"/>
          <w:sz w:val="28"/>
          <w:szCs w:val="28"/>
        </w:rPr>
        <w:t xml:space="preserve"> 本制度的修订由行政、财务提出修</w:t>
      </w:r>
      <w:r>
        <w:rPr>
          <w:rFonts w:ascii="仿宋" w:hAnsi="仿宋" w:eastAsia="仿宋" w:cs="仿宋"/>
          <w:spacing w:val="-1"/>
          <w:sz w:val="28"/>
          <w:szCs w:val="28"/>
        </w:rPr>
        <w:t>改意见，经</w:t>
      </w:r>
      <w:r>
        <w:rPr>
          <w:rFonts w:ascii="仿宋" w:hAnsi="仿宋" w:eastAsia="仿宋" w:cs="仿宋"/>
          <w:sz w:val="28"/>
          <w:szCs w:val="28"/>
        </w:rPr>
        <w:t xml:space="preserve"> </w:t>
      </w:r>
      <w:r>
        <w:rPr>
          <w:rFonts w:ascii="仿宋" w:hAnsi="仿宋" w:eastAsia="仿宋" w:cs="仿宋"/>
          <w:spacing w:val="-1"/>
          <w:sz w:val="28"/>
          <w:szCs w:val="28"/>
        </w:rPr>
        <w:t>基金会秘书长审核后，报理事会审议通过执行。</w:t>
      </w:r>
    </w:p>
    <w:p w14:paraId="4814BD60">
      <w:pPr>
        <w:spacing w:line="353" w:lineRule="auto"/>
        <w:rPr>
          <w:rFonts w:ascii="仿宋" w:hAnsi="仿宋" w:eastAsia="仿宋" w:cs="仿宋"/>
          <w:sz w:val="28"/>
          <w:szCs w:val="28"/>
        </w:rPr>
        <w:sectPr>
          <w:pgSz w:w="11906" w:h="16839"/>
          <w:pgMar w:top="400" w:right="1785" w:bottom="400" w:left="1679" w:header="0" w:footer="850" w:gutter="0"/>
          <w:pgNumType w:fmt="decimal"/>
          <w:cols w:space="720" w:num="1"/>
        </w:sectPr>
      </w:pPr>
    </w:p>
    <w:p w14:paraId="25285CDE">
      <w:pPr>
        <w:spacing w:line="258" w:lineRule="auto"/>
        <w:rPr>
          <w:rFonts w:ascii="Arial"/>
          <w:sz w:val="21"/>
        </w:rPr>
      </w:pPr>
    </w:p>
    <w:p w14:paraId="02DEB515">
      <w:pPr>
        <w:spacing w:line="258" w:lineRule="auto"/>
        <w:rPr>
          <w:rFonts w:ascii="Arial"/>
          <w:sz w:val="21"/>
        </w:rPr>
      </w:pPr>
    </w:p>
    <w:p w14:paraId="53B4E8EB">
      <w:pPr>
        <w:spacing w:line="258" w:lineRule="auto"/>
        <w:rPr>
          <w:rFonts w:ascii="Arial"/>
          <w:sz w:val="21"/>
        </w:rPr>
      </w:pPr>
    </w:p>
    <w:p w14:paraId="21F739C0">
      <w:pPr>
        <w:spacing w:line="259" w:lineRule="auto"/>
        <w:rPr>
          <w:rFonts w:ascii="Arial"/>
          <w:sz w:val="21"/>
        </w:rPr>
      </w:pPr>
    </w:p>
    <w:p w14:paraId="0769FCAA">
      <w:pPr>
        <w:spacing w:before="120" w:line="221" w:lineRule="auto"/>
        <w:ind w:left="881"/>
        <w:rPr>
          <w:rFonts w:ascii="方正舒体" w:hAnsi="方正舒体" w:eastAsia="方正舒体" w:cs="方正舒体"/>
          <w:sz w:val="35"/>
          <w:szCs w:val="35"/>
        </w:rPr>
      </w:pPr>
      <w:bookmarkStart w:id="20" w:name="bookmark24"/>
      <w:bookmarkEnd w:id="20"/>
      <w:r>
        <w:rPr>
          <w:rFonts w:ascii="方正舒体" w:hAnsi="方正舒体" w:eastAsia="方正舒体" w:cs="方正舒体"/>
          <w:spacing w:val="8"/>
          <w:sz w:val="35"/>
          <w:szCs w:val="35"/>
        </w:rPr>
        <w:t>青海省青海湖生态保护基金会信息公开制度</w:t>
      </w:r>
    </w:p>
    <w:p w14:paraId="3D187F23">
      <w:pPr>
        <w:spacing w:before="208" w:line="222" w:lineRule="auto"/>
        <w:ind w:left="3162"/>
        <w:rPr>
          <w:rFonts w:ascii="黑体" w:hAnsi="黑体" w:eastAsia="黑体" w:cs="黑体"/>
          <w:sz w:val="28"/>
          <w:szCs w:val="28"/>
        </w:rPr>
      </w:pPr>
      <w:r>
        <w:rPr>
          <w:rFonts w:ascii="黑体" w:hAnsi="黑体" w:eastAsia="黑体" w:cs="黑体"/>
          <w:b/>
          <w:bCs/>
          <w:spacing w:val="-4"/>
          <w:sz w:val="28"/>
          <w:szCs w:val="28"/>
        </w:rPr>
        <w:t>第四十五章</w:t>
      </w:r>
      <w:r>
        <w:rPr>
          <w:rFonts w:ascii="黑体" w:hAnsi="黑体" w:eastAsia="黑体" w:cs="黑体"/>
          <w:spacing w:val="-4"/>
          <w:sz w:val="28"/>
          <w:szCs w:val="28"/>
        </w:rPr>
        <w:t xml:space="preserve">  </w:t>
      </w:r>
      <w:r>
        <w:rPr>
          <w:rFonts w:ascii="黑体" w:hAnsi="黑体" w:eastAsia="黑体" w:cs="黑体"/>
          <w:b/>
          <w:bCs/>
          <w:spacing w:val="-4"/>
          <w:sz w:val="28"/>
          <w:szCs w:val="28"/>
        </w:rPr>
        <w:t>总则</w:t>
      </w:r>
    </w:p>
    <w:p w14:paraId="17A96809">
      <w:pPr>
        <w:spacing w:before="222" w:line="363" w:lineRule="auto"/>
        <w:ind w:right="13" w:firstLine="709"/>
        <w:jc w:val="both"/>
        <w:rPr>
          <w:rFonts w:ascii="仿宋" w:hAnsi="仿宋" w:eastAsia="仿宋" w:cs="仿宋"/>
          <w:sz w:val="28"/>
          <w:szCs w:val="28"/>
        </w:rPr>
      </w:pPr>
      <w:r>
        <w:rPr>
          <w:rFonts w:ascii="仿宋" w:hAnsi="仿宋" w:eastAsia="仿宋" w:cs="仿宋"/>
          <w:b/>
          <w:bCs/>
          <w:spacing w:val="10"/>
          <w:sz w:val="28"/>
          <w:szCs w:val="28"/>
        </w:rPr>
        <w:t>第一百三十三条</w:t>
      </w:r>
      <w:r>
        <w:rPr>
          <w:rFonts w:ascii="仿宋" w:hAnsi="仿宋" w:eastAsia="仿宋" w:cs="仿宋"/>
          <w:spacing w:val="10"/>
          <w:sz w:val="28"/>
          <w:szCs w:val="28"/>
        </w:rPr>
        <w:t xml:space="preserve"> 为加强和规范青海省青海湖生态保护基金会</w:t>
      </w:r>
      <w:r>
        <w:rPr>
          <w:rFonts w:ascii="仿宋" w:hAnsi="仿宋" w:eastAsia="仿宋" w:cs="仿宋"/>
          <w:spacing w:val="5"/>
          <w:sz w:val="28"/>
          <w:szCs w:val="28"/>
        </w:rPr>
        <w:t xml:space="preserve"> </w:t>
      </w:r>
      <w:r>
        <w:rPr>
          <w:rFonts w:ascii="仿宋" w:hAnsi="仿宋" w:eastAsia="仿宋" w:cs="仿宋"/>
          <w:spacing w:val="-1"/>
          <w:sz w:val="28"/>
          <w:szCs w:val="28"/>
        </w:rPr>
        <w:t>（以下简称“基金会</w:t>
      </w:r>
      <w:r>
        <w:rPr>
          <w:rFonts w:ascii="仿宋" w:hAnsi="仿宋" w:eastAsia="仿宋" w:cs="仿宋"/>
          <w:spacing w:val="-85"/>
          <w:sz w:val="28"/>
          <w:szCs w:val="28"/>
        </w:rPr>
        <w:t xml:space="preserve"> </w:t>
      </w:r>
      <w:r>
        <w:rPr>
          <w:rFonts w:ascii="仿宋" w:hAnsi="仿宋" w:eastAsia="仿宋" w:cs="仿宋"/>
          <w:spacing w:val="-1"/>
          <w:sz w:val="28"/>
          <w:szCs w:val="28"/>
        </w:rPr>
        <w:t>”）的信息公开行为，保护捐赠人、志愿者、受</w:t>
      </w:r>
      <w:r>
        <w:rPr>
          <w:rFonts w:ascii="仿宋" w:hAnsi="仿宋" w:eastAsia="仿宋" w:cs="仿宋"/>
          <w:sz w:val="28"/>
          <w:szCs w:val="28"/>
        </w:rPr>
        <w:t xml:space="preserve"> </w:t>
      </w:r>
      <w:r>
        <w:rPr>
          <w:rFonts w:ascii="仿宋" w:hAnsi="仿宋" w:eastAsia="仿宋" w:cs="仿宋"/>
          <w:spacing w:val="1"/>
          <w:sz w:val="28"/>
          <w:szCs w:val="28"/>
        </w:rPr>
        <w:t>益人等慈善活动参与者的合法权益，提高基金会的透明度</w:t>
      </w:r>
      <w:r>
        <w:rPr>
          <w:rFonts w:ascii="仿宋" w:hAnsi="仿宋" w:eastAsia="仿宋" w:cs="仿宋"/>
          <w:sz w:val="28"/>
          <w:szCs w:val="28"/>
        </w:rPr>
        <w:t xml:space="preserve">，促进公益 </w:t>
      </w:r>
      <w:r>
        <w:rPr>
          <w:rFonts w:ascii="仿宋" w:hAnsi="仿宋" w:eastAsia="仿宋" w:cs="仿宋"/>
          <w:spacing w:val="5"/>
          <w:sz w:val="28"/>
          <w:szCs w:val="28"/>
        </w:rPr>
        <w:t>事业的发展，根据《中华人民共和国慈善法》、《慈善组织信 息公</w:t>
      </w:r>
      <w:r>
        <w:rPr>
          <w:rFonts w:ascii="仿宋" w:hAnsi="仿宋" w:eastAsia="仿宋" w:cs="仿宋"/>
          <w:spacing w:val="15"/>
          <w:sz w:val="28"/>
          <w:szCs w:val="28"/>
        </w:rPr>
        <w:t xml:space="preserve"> </w:t>
      </w:r>
      <w:r>
        <w:rPr>
          <w:rFonts w:ascii="仿宋" w:hAnsi="仿宋" w:eastAsia="仿宋" w:cs="仿宋"/>
          <w:spacing w:val="4"/>
          <w:sz w:val="28"/>
          <w:szCs w:val="28"/>
        </w:rPr>
        <w:t>开办法》内容，结合青海湖基金会实际情况，特制定本制度。</w:t>
      </w:r>
    </w:p>
    <w:p w14:paraId="124C4845">
      <w:pPr>
        <w:spacing w:before="48" w:line="222" w:lineRule="auto"/>
        <w:ind w:left="2600"/>
        <w:rPr>
          <w:rFonts w:ascii="黑体" w:hAnsi="黑体" w:eastAsia="黑体" w:cs="黑体"/>
          <w:sz w:val="28"/>
          <w:szCs w:val="28"/>
        </w:rPr>
      </w:pPr>
      <w:r>
        <w:rPr>
          <w:rFonts w:ascii="黑体" w:hAnsi="黑体" w:eastAsia="黑体" w:cs="黑体"/>
          <w:b/>
          <w:bCs/>
          <w:spacing w:val="-3"/>
          <w:sz w:val="28"/>
          <w:szCs w:val="28"/>
        </w:rPr>
        <w:t>第四十六章</w:t>
      </w:r>
      <w:r>
        <w:rPr>
          <w:rFonts w:ascii="黑体" w:hAnsi="黑体" w:eastAsia="黑体" w:cs="黑体"/>
          <w:spacing w:val="-3"/>
          <w:sz w:val="28"/>
          <w:szCs w:val="28"/>
        </w:rPr>
        <w:t xml:space="preserve">  </w:t>
      </w:r>
      <w:r>
        <w:rPr>
          <w:rFonts w:ascii="黑体" w:hAnsi="黑体" w:eastAsia="黑体" w:cs="黑体"/>
          <w:b/>
          <w:bCs/>
          <w:spacing w:val="-3"/>
          <w:sz w:val="28"/>
          <w:szCs w:val="28"/>
        </w:rPr>
        <w:t>信息公开原则</w:t>
      </w:r>
    </w:p>
    <w:p w14:paraId="498575E9">
      <w:pPr>
        <w:spacing w:before="219" w:line="362" w:lineRule="auto"/>
        <w:ind w:left="137" w:right="13" w:firstLine="572"/>
        <w:jc w:val="both"/>
        <w:rPr>
          <w:rFonts w:ascii="仿宋" w:hAnsi="仿宋" w:eastAsia="仿宋" w:cs="仿宋"/>
          <w:sz w:val="28"/>
          <w:szCs w:val="28"/>
        </w:rPr>
      </w:pPr>
      <w:r>
        <w:rPr>
          <w:rFonts w:ascii="仿宋" w:hAnsi="仿宋" w:eastAsia="仿宋" w:cs="仿宋"/>
          <w:b/>
          <w:bCs/>
          <w:sz w:val="28"/>
          <w:szCs w:val="28"/>
        </w:rPr>
        <w:t>第一百三十四条</w:t>
      </w:r>
      <w:r>
        <w:rPr>
          <w:rFonts w:ascii="仿宋" w:hAnsi="仿宋" w:eastAsia="仿宋" w:cs="仿宋"/>
          <w:sz w:val="28"/>
          <w:szCs w:val="28"/>
        </w:rPr>
        <w:t xml:space="preserve"> 本制度所称信息公开，是指基金会</w:t>
      </w:r>
      <w:r>
        <w:rPr>
          <w:rFonts w:ascii="仿宋" w:hAnsi="仿宋" w:eastAsia="仿宋" w:cs="仿宋"/>
          <w:spacing w:val="-1"/>
          <w:sz w:val="28"/>
          <w:szCs w:val="28"/>
        </w:rPr>
        <w:t>按照相关法</w:t>
      </w:r>
      <w:r>
        <w:rPr>
          <w:rFonts w:ascii="仿宋" w:hAnsi="仿宋" w:eastAsia="仿宋" w:cs="仿宋"/>
          <w:sz w:val="28"/>
          <w:szCs w:val="28"/>
        </w:rPr>
        <w:t xml:space="preserve"> </w:t>
      </w:r>
      <w:r>
        <w:rPr>
          <w:rFonts w:ascii="仿宋" w:hAnsi="仿宋" w:eastAsia="仿宋" w:cs="仿宋"/>
          <w:spacing w:val="-4"/>
          <w:sz w:val="28"/>
          <w:szCs w:val="28"/>
        </w:rPr>
        <w:t>律法规和本办法的规定，将基金会内部信息和业务活动信息对外公开</w:t>
      </w:r>
      <w:r>
        <w:rPr>
          <w:rFonts w:ascii="仿宋" w:hAnsi="仿宋" w:eastAsia="仿宋" w:cs="仿宋"/>
          <w:spacing w:val="7"/>
          <w:sz w:val="28"/>
          <w:szCs w:val="28"/>
        </w:rPr>
        <w:t xml:space="preserve"> </w:t>
      </w:r>
      <w:r>
        <w:rPr>
          <w:rFonts w:ascii="仿宋" w:hAnsi="仿宋" w:eastAsia="仿宋" w:cs="仿宋"/>
          <w:spacing w:val="-4"/>
          <w:sz w:val="28"/>
          <w:szCs w:val="28"/>
        </w:rPr>
        <w:t>的活动。基金会应当以真实、准确、完整为公开信息的基本原则公开</w:t>
      </w:r>
      <w:r>
        <w:rPr>
          <w:rFonts w:ascii="仿宋" w:hAnsi="仿宋" w:eastAsia="仿宋" w:cs="仿宋"/>
          <w:spacing w:val="7"/>
          <w:sz w:val="28"/>
          <w:szCs w:val="28"/>
        </w:rPr>
        <w:t xml:space="preserve"> </w:t>
      </w:r>
      <w:r>
        <w:rPr>
          <w:rFonts w:ascii="仿宋" w:hAnsi="仿宋" w:eastAsia="仿宋" w:cs="仿宋"/>
          <w:spacing w:val="-1"/>
          <w:sz w:val="28"/>
          <w:szCs w:val="28"/>
        </w:rPr>
        <w:t>与相关的信息，但依法不予公开的除外。</w:t>
      </w:r>
    </w:p>
    <w:p w14:paraId="0171CD82">
      <w:pPr>
        <w:spacing w:before="48" w:line="222" w:lineRule="auto"/>
        <w:ind w:left="2459"/>
        <w:rPr>
          <w:rFonts w:ascii="黑体" w:hAnsi="黑体" w:eastAsia="黑体" w:cs="黑体"/>
          <w:sz w:val="28"/>
          <w:szCs w:val="28"/>
        </w:rPr>
      </w:pPr>
      <w:r>
        <w:rPr>
          <w:rFonts w:ascii="黑体" w:hAnsi="黑体" w:eastAsia="黑体" w:cs="黑体"/>
          <w:b/>
          <w:bCs/>
          <w:spacing w:val="-3"/>
          <w:sz w:val="28"/>
          <w:szCs w:val="28"/>
        </w:rPr>
        <w:t>第四十七章</w:t>
      </w:r>
      <w:r>
        <w:rPr>
          <w:rFonts w:ascii="黑体" w:hAnsi="黑体" w:eastAsia="黑体" w:cs="黑体"/>
          <w:spacing w:val="-3"/>
          <w:sz w:val="28"/>
          <w:szCs w:val="28"/>
        </w:rPr>
        <w:t xml:space="preserve">  </w:t>
      </w:r>
      <w:r>
        <w:rPr>
          <w:rFonts w:ascii="黑体" w:hAnsi="黑体" w:eastAsia="黑体" w:cs="黑体"/>
          <w:b/>
          <w:bCs/>
          <w:spacing w:val="-3"/>
          <w:sz w:val="28"/>
          <w:szCs w:val="28"/>
        </w:rPr>
        <w:t>信息公开的内容</w:t>
      </w:r>
    </w:p>
    <w:p w14:paraId="3B4A50F3">
      <w:pPr>
        <w:spacing w:before="221" w:line="221" w:lineRule="auto"/>
        <w:ind w:left="709"/>
        <w:rPr>
          <w:rFonts w:ascii="仿宋" w:hAnsi="仿宋" w:eastAsia="仿宋" w:cs="仿宋"/>
          <w:sz w:val="28"/>
          <w:szCs w:val="28"/>
        </w:rPr>
      </w:pPr>
      <w:r>
        <w:rPr>
          <w:rFonts w:ascii="仿宋" w:hAnsi="仿宋" w:eastAsia="仿宋" w:cs="仿宋"/>
          <w:b/>
          <w:bCs/>
          <w:spacing w:val="-2"/>
          <w:sz w:val="28"/>
          <w:szCs w:val="28"/>
        </w:rPr>
        <w:t>第一百三十五条</w:t>
      </w:r>
      <w:r>
        <w:rPr>
          <w:rFonts w:ascii="仿宋" w:hAnsi="仿宋" w:eastAsia="仿宋" w:cs="仿宋"/>
          <w:spacing w:val="-2"/>
          <w:sz w:val="28"/>
          <w:szCs w:val="28"/>
        </w:rPr>
        <w:t xml:space="preserve"> 基金会公开的信息应包括以下内容：</w:t>
      </w:r>
    </w:p>
    <w:p w14:paraId="40239214">
      <w:pPr>
        <w:spacing w:before="225" w:line="355" w:lineRule="auto"/>
        <w:ind w:left="138" w:right="13" w:firstLine="559"/>
        <w:rPr>
          <w:rFonts w:ascii="仿宋" w:hAnsi="仿宋" w:eastAsia="仿宋" w:cs="仿宋"/>
          <w:sz w:val="28"/>
          <w:szCs w:val="28"/>
        </w:rPr>
      </w:pPr>
      <w:r>
        <w:rPr>
          <w:rFonts w:ascii="仿宋" w:hAnsi="仿宋" w:eastAsia="仿宋" w:cs="仿宋"/>
          <w:spacing w:val="-7"/>
          <w:sz w:val="28"/>
          <w:szCs w:val="28"/>
        </w:rPr>
        <w:t>（一）基金会名称、使命、宗</w:t>
      </w:r>
      <w:r>
        <w:rPr>
          <w:rFonts w:ascii="仿宋" w:hAnsi="仿宋" w:eastAsia="仿宋" w:cs="仿宋"/>
          <w:spacing w:val="-57"/>
          <w:sz w:val="28"/>
          <w:szCs w:val="28"/>
        </w:rPr>
        <w:t xml:space="preserve"> </w:t>
      </w:r>
      <w:r>
        <w:rPr>
          <w:rFonts w:ascii="仿宋" w:hAnsi="仿宋" w:eastAsia="仿宋" w:cs="仿宋"/>
          <w:spacing w:val="-7"/>
          <w:sz w:val="28"/>
          <w:szCs w:val="28"/>
        </w:rPr>
        <w:t>旨、业务范围、章程、联系方式等</w:t>
      </w:r>
      <w:r>
        <w:rPr>
          <w:rFonts w:ascii="仿宋" w:hAnsi="仿宋" w:eastAsia="仿宋" w:cs="仿宋"/>
          <w:sz w:val="28"/>
          <w:szCs w:val="28"/>
        </w:rPr>
        <w:t xml:space="preserve"> </w:t>
      </w:r>
      <w:r>
        <w:rPr>
          <w:rFonts w:ascii="仿宋" w:hAnsi="仿宋" w:eastAsia="仿宋" w:cs="仿宋"/>
          <w:spacing w:val="-4"/>
          <w:sz w:val="28"/>
          <w:szCs w:val="28"/>
        </w:rPr>
        <w:t>基本信息；</w:t>
      </w:r>
    </w:p>
    <w:p w14:paraId="21490AEE">
      <w:pPr>
        <w:spacing w:before="43" w:line="221" w:lineRule="auto"/>
        <w:ind w:left="698"/>
        <w:rPr>
          <w:rFonts w:ascii="仿宋" w:hAnsi="仿宋" w:eastAsia="仿宋" w:cs="仿宋"/>
          <w:sz w:val="28"/>
          <w:szCs w:val="28"/>
        </w:rPr>
      </w:pPr>
      <w:r>
        <w:rPr>
          <w:rFonts w:ascii="仿宋" w:hAnsi="仿宋" w:eastAsia="仿宋" w:cs="仿宋"/>
          <w:spacing w:val="-2"/>
          <w:sz w:val="28"/>
          <w:szCs w:val="28"/>
        </w:rPr>
        <w:t>（二）年度工作报告和财务审计报告；</w:t>
      </w:r>
    </w:p>
    <w:p w14:paraId="6CFF6EB1">
      <w:pPr>
        <w:spacing w:before="225" w:line="296" w:lineRule="auto"/>
        <w:ind w:left="139" w:right="13" w:firstLine="558"/>
        <w:rPr>
          <w:rFonts w:ascii="仿宋" w:hAnsi="仿宋" w:eastAsia="仿宋" w:cs="仿宋"/>
          <w:sz w:val="28"/>
          <w:szCs w:val="28"/>
        </w:rPr>
      </w:pPr>
      <w:r>
        <w:rPr>
          <w:rFonts w:ascii="仿宋" w:hAnsi="仿宋" w:eastAsia="仿宋" w:cs="仿宋"/>
          <w:spacing w:val="-4"/>
          <w:sz w:val="28"/>
          <w:szCs w:val="28"/>
        </w:rPr>
        <w:t>（三）本组织的信息公开制度、项目管理制度、财务和人事管理</w:t>
      </w:r>
      <w:r>
        <w:rPr>
          <w:rFonts w:ascii="仿宋" w:hAnsi="仿宋" w:eastAsia="仿宋" w:cs="仿宋"/>
          <w:sz w:val="28"/>
          <w:szCs w:val="28"/>
        </w:rPr>
        <w:t xml:space="preserve"> </w:t>
      </w:r>
      <w:r>
        <w:rPr>
          <w:rFonts w:ascii="仿宋" w:hAnsi="仿宋" w:eastAsia="仿宋" w:cs="仿宋"/>
          <w:spacing w:val="-6"/>
          <w:sz w:val="28"/>
          <w:szCs w:val="28"/>
        </w:rPr>
        <w:t>制度；</w:t>
      </w:r>
    </w:p>
    <w:p w14:paraId="4EB0008D">
      <w:pPr>
        <w:spacing w:before="222" w:line="223" w:lineRule="auto"/>
        <w:ind w:left="698"/>
        <w:rPr>
          <w:rFonts w:ascii="仿宋" w:hAnsi="仿宋" w:eastAsia="仿宋" w:cs="仿宋"/>
          <w:sz w:val="28"/>
          <w:szCs w:val="28"/>
        </w:rPr>
      </w:pPr>
      <w:r>
        <w:rPr>
          <w:rFonts w:ascii="仿宋" w:hAnsi="仿宋" w:eastAsia="仿宋" w:cs="仿宋"/>
          <w:spacing w:val="-2"/>
          <w:sz w:val="28"/>
          <w:szCs w:val="28"/>
        </w:rPr>
        <w:t>（四）定向捐赠情况；</w:t>
      </w:r>
    </w:p>
    <w:p w14:paraId="3CDABA81">
      <w:pPr>
        <w:spacing w:before="221" w:line="223" w:lineRule="auto"/>
        <w:ind w:left="698"/>
        <w:rPr>
          <w:rFonts w:ascii="仿宋" w:hAnsi="仿宋" w:eastAsia="仿宋" w:cs="仿宋"/>
          <w:sz w:val="28"/>
          <w:szCs w:val="28"/>
        </w:rPr>
      </w:pPr>
      <w:r>
        <w:rPr>
          <w:rFonts w:ascii="仿宋" w:hAnsi="仿宋" w:eastAsia="仿宋" w:cs="仿宋"/>
          <w:spacing w:val="-2"/>
          <w:sz w:val="28"/>
          <w:szCs w:val="28"/>
        </w:rPr>
        <w:t>（五）慈善项目有关情况；</w:t>
      </w:r>
    </w:p>
    <w:p w14:paraId="06F767F8">
      <w:pPr>
        <w:spacing w:before="224" w:line="222" w:lineRule="auto"/>
        <w:ind w:left="698"/>
        <w:rPr>
          <w:rFonts w:ascii="仿宋" w:hAnsi="仿宋" w:eastAsia="仿宋" w:cs="仿宋"/>
          <w:sz w:val="28"/>
          <w:szCs w:val="28"/>
        </w:rPr>
      </w:pPr>
      <w:r>
        <w:rPr>
          <w:rFonts w:ascii="仿宋" w:hAnsi="仿宋" w:eastAsia="仿宋" w:cs="仿宋"/>
          <w:spacing w:val="-2"/>
          <w:sz w:val="28"/>
          <w:szCs w:val="28"/>
        </w:rPr>
        <w:t>（六）慈善信托有关情况；</w:t>
      </w:r>
    </w:p>
    <w:p w14:paraId="23E956FB">
      <w:pPr>
        <w:spacing w:before="223" w:line="295" w:lineRule="auto"/>
        <w:ind w:left="147" w:right="13" w:firstLine="550"/>
        <w:rPr>
          <w:rFonts w:ascii="仿宋" w:hAnsi="仿宋" w:eastAsia="仿宋" w:cs="仿宋"/>
          <w:sz w:val="28"/>
          <w:szCs w:val="28"/>
        </w:rPr>
      </w:pPr>
      <w:r>
        <w:rPr>
          <w:rFonts w:ascii="仿宋" w:hAnsi="仿宋" w:eastAsia="仿宋" w:cs="仿宋"/>
          <w:spacing w:val="-4"/>
          <w:sz w:val="28"/>
          <w:szCs w:val="28"/>
        </w:rPr>
        <w:t>（七）重大资产变动及投资、重大交换交易及资金往来、关联交</w:t>
      </w:r>
      <w:r>
        <w:rPr>
          <w:rFonts w:ascii="仿宋" w:hAnsi="仿宋" w:eastAsia="仿宋" w:cs="仿宋"/>
          <w:sz w:val="28"/>
          <w:szCs w:val="28"/>
        </w:rPr>
        <w:t xml:space="preserve"> </w:t>
      </w:r>
      <w:r>
        <w:rPr>
          <w:rFonts w:ascii="仿宋" w:hAnsi="仿宋" w:eastAsia="仿宋" w:cs="仿宋"/>
          <w:spacing w:val="-4"/>
          <w:sz w:val="28"/>
          <w:szCs w:val="28"/>
        </w:rPr>
        <w:t>易行为等情况；</w:t>
      </w:r>
    </w:p>
    <w:p w14:paraId="79FB8F24">
      <w:pPr>
        <w:spacing w:line="295" w:lineRule="auto"/>
        <w:rPr>
          <w:rFonts w:ascii="仿宋" w:hAnsi="仿宋" w:eastAsia="仿宋" w:cs="仿宋"/>
          <w:sz w:val="28"/>
          <w:szCs w:val="28"/>
        </w:rPr>
        <w:sectPr>
          <w:pgSz w:w="11906" w:h="16839"/>
          <w:pgMar w:top="400" w:right="1785" w:bottom="400" w:left="1679" w:header="0" w:footer="850" w:gutter="0"/>
          <w:pgNumType w:fmt="decimal"/>
          <w:cols w:space="720" w:num="1"/>
        </w:sectPr>
      </w:pPr>
    </w:p>
    <w:p w14:paraId="4BF78F50">
      <w:pPr>
        <w:spacing w:line="287" w:lineRule="auto"/>
        <w:rPr>
          <w:rFonts w:ascii="Arial"/>
          <w:sz w:val="21"/>
        </w:rPr>
      </w:pPr>
    </w:p>
    <w:p w14:paraId="58E5FDB0">
      <w:pPr>
        <w:spacing w:line="287" w:lineRule="auto"/>
        <w:rPr>
          <w:rFonts w:ascii="Arial"/>
          <w:sz w:val="21"/>
        </w:rPr>
      </w:pPr>
    </w:p>
    <w:p w14:paraId="0AA418C2">
      <w:pPr>
        <w:spacing w:line="288" w:lineRule="auto"/>
        <w:rPr>
          <w:rFonts w:ascii="Arial"/>
          <w:sz w:val="21"/>
        </w:rPr>
      </w:pPr>
    </w:p>
    <w:p w14:paraId="22A49F1B">
      <w:pPr>
        <w:spacing w:line="288" w:lineRule="auto"/>
        <w:rPr>
          <w:rFonts w:ascii="Arial"/>
          <w:sz w:val="21"/>
        </w:rPr>
      </w:pPr>
    </w:p>
    <w:p w14:paraId="04CB5F34">
      <w:pPr>
        <w:spacing w:before="91" w:line="222" w:lineRule="auto"/>
        <w:ind w:left="592"/>
        <w:rPr>
          <w:rFonts w:ascii="仿宋" w:hAnsi="仿宋" w:eastAsia="仿宋" w:cs="仿宋"/>
          <w:sz w:val="28"/>
          <w:szCs w:val="28"/>
        </w:rPr>
      </w:pPr>
      <w:r>
        <w:rPr>
          <w:rFonts w:ascii="仿宋" w:hAnsi="仿宋" w:eastAsia="仿宋" w:cs="仿宋"/>
          <w:spacing w:val="-2"/>
          <w:sz w:val="28"/>
          <w:szCs w:val="28"/>
        </w:rPr>
        <w:t>（八）法律法规要求公开的其他信息。</w:t>
      </w:r>
    </w:p>
    <w:p w14:paraId="1DD15A2E">
      <w:pPr>
        <w:spacing w:before="223" w:line="352" w:lineRule="auto"/>
        <w:ind w:left="66" w:right="93" w:firstLine="536"/>
        <w:rPr>
          <w:rFonts w:ascii="仿宋" w:hAnsi="仿宋" w:eastAsia="仿宋" w:cs="仿宋"/>
          <w:sz w:val="28"/>
          <w:szCs w:val="28"/>
        </w:rPr>
      </w:pPr>
      <w:r>
        <w:rPr>
          <w:rFonts w:ascii="仿宋" w:hAnsi="仿宋" w:eastAsia="仿宋" w:cs="仿宋"/>
          <w:b/>
          <w:bCs/>
          <w:spacing w:val="-3"/>
          <w:sz w:val="28"/>
          <w:szCs w:val="28"/>
        </w:rPr>
        <w:t>第一百三十六条</w:t>
      </w:r>
      <w:r>
        <w:rPr>
          <w:rFonts w:ascii="仿宋" w:hAnsi="仿宋" w:eastAsia="仿宋" w:cs="仿宋"/>
          <w:spacing w:val="-3"/>
          <w:sz w:val="28"/>
          <w:szCs w:val="28"/>
        </w:rPr>
        <w:t xml:space="preserve"> 基金会应当自下列基本信息形成之日起 30</w:t>
      </w:r>
      <w:r>
        <w:rPr>
          <w:rFonts w:ascii="仿宋" w:hAnsi="仿宋" w:eastAsia="仿宋" w:cs="仿宋"/>
          <w:spacing w:val="82"/>
          <w:sz w:val="28"/>
          <w:szCs w:val="28"/>
        </w:rPr>
        <w:t xml:space="preserve"> </w:t>
      </w:r>
      <w:r>
        <w:rPr>
          <w:rFonts w:ascii="仿宋" w:hAnsi="仿宋" w:eastAsia="仿宋" w:cs="仿宋"/>
          <w:spacing w:val="-3"/>
          <w:sz w:val="28"/>
          <w:szCs w:val="28"/>
        </w:rPr>
        <w:t>日</w:t>
      </w:r>
      <w:r>
        <w:rPr>
          <w:rFonts w:ascii="仿宋" w:hAnsi="仿宋" w:eastAsia="仿宋" w:cs="仿宋"/>
          <w:sz w:val="28"/>
          <w:szCs w:val="28"/>
        </w:rPr>
        <w:t xml:space="preserve"> </w:t>
      </w:r>
      <w:r>
        <w:rPr>
          <w:rFonts w:ascii="仿宋" w:hAnsi="仿宋" w:eastAsia="仿宋" w:cs="仿宋"/>
          <w:spacing w:val="-4"/>
          <w:sz w:val="28"/>
          <w:szCs w:val="28"/>
        </w:rPr>
        <w:t>内， 在统一信息平台向社会公开：</w:t>
      </w:r>
    </w:p>
    <w:p w14:paraId="199EB701">
      <w:pPr>
        <w:spacing w:before="52" w:line="222" w:lineRule="auto"/>
        <w:ind w:left="592"/>
        <w:rPr>
          <w:rFonts w:ascii="仿宋" w:hAnsi="仿宋" w:eastAsia="仿宋" w:cs="仿宋"/>
          <w:sz w:val="28"/>
          <w:szCs w:val="28"/>
        </w:rPr>
      </w:pPr>
      <w:r>
        <w:rPr>
          <w:rFonts w:ascii="仿宋" w:hAnsi="仿宋" w:eastAsia="仿宋" w:cs="仿宋"/>
          <w:spacing w:val="-2"/>
          <w:sz w:val="28"/>
          <w:szCs w:val="28"/>
        </w:rPr>
        <w:t>（一）经民政部门核准的章程；</w:t>
      </w:r>
    </w:p>
    <w:p w14:paraId="2764CB94">
      <w:pPr>
        <w:spacing w:before="221" w:line="222" w:lineRule="auto"/>
        <w:ind w:left="592"/>
        <w:rPr>
          <w:rFonts w:ascii="仿宋" w:hAnsi="仿宋" w:eastAsia="仿宋" w:cs="仿宋"/>
          <w:sz w:val="28"/>
          <w:szCs w:val="28"/>
        </w:rPr>
      </w:pPr>
      <w:r>
        <w:rPr>
          <w:rFonts w:ascii="仿宋" w:hAnsi="仿宋" w:eastAsia="仿宋" w:cs="仿宋"/>
          <w:spacing w:val="-1"/>
          <w:sz w:val="28"/>
          <w:szCs w:val="28"/>
        </w:rPr>
        <w:t>（二）决策、执行、监督机构成员信息；</w:t>
      </w:r>
    </w:p>
    <w:p w14:paraId="2C20A15D">
      <w:pPr>
        <w:spacing w:before="224" w:line="296" w:lineRule="auto"/>
        <w:ind w:left="48" w:right="93" w:firstLine="544"/>
        <w:rPr>
          <w:rFonts w:ascii="仿宋" w:hAnsi="仿宋" w:eastAsia="仿宋" w:cs="仿宋"/>
          <w:sz w:val="28"/>
          <w:szCs w:val="28"/>
        </w:rPr>
      </w:pPr>
      <w:r>
        <w:rPr>
          <w:rFonts w:ascii="仿宋" w:hAnsi="仿宋" w:eastAsia="仿宋" w:cs="仿宋"/>
          <w:spacing w:val="-4"/>
          <w:sz w:val="28"/>
          <w:szCs w:val="28"/>
        </w:rPr>
        <w:t>（三）专项基金和其他机构的名称、设立时间、存续情况、业务</w:t>
      </w:r>
      <w:r>
        <w:rPr>
          <w:rFonts w:ascii="仿宋" w:hAnsi="仿宋" w:eastAsia="仿宋" w:cs="仿宋"/>
          <w:sz w:val="28"/>
          <w:szCs w:val="28"/>
        </w:rPr>
        <w:t xml:space="preserve"> </w:t>
      </w:r>
      <w:r>
        <w:rPr>
          <w:rFonts w:ascii="仿宋" w:hAnsi="仿宋" w:eastAsia="仿宋" w:cs="仿宋"/>
          <w:spacing w:val="-4"/>
          <w:sz w:val="28"/>
          <w:szCs w:val="28"/>
        </w:rPr>
        <w:t>范围或者主要职能；</w:t>
      </w:r>
    </w:p>
    <w:p w14:paraId="1BF56B61">
      <w:pPr>
        <w:spacing w:before="223" w:line="294" w:lineRule="auto"/>
        <w:ind w:left="37" w:right="93" w:firstLine="555"/>
        <w:rPr>
          <w:rFonts w:ascii="仿宋" w:hAnsi="仿宋" w:eastAsia="仿宋" w:cs="仿宋"/>
          <w:sz w:val="28"/>
          <w:szCs w:val="28"/>
        </w:rPr>
      </w:pPr>
      <w:r>
        <w:rPr>
          <w:rFonts w:ascii="仿宋" w:hAnsi="仿宋" w:eastAsia="仿宋" w:cs="仿宋"/>
          <w:spacing w:val="-4"/>
          <w:sz w:val="28"/>
          <w:szCs w:val="28"/>
        </w:rPr>
        <w:t>（四）发起人、主要捐赠人、管理人员、被投资方以及与慈善组</w:t>
      </w:r>
      <w:r>
        <w:rPr>
          <w:rFonts w:ascii="仿宋" w:hAnsi="仿宋" w:eastAsia="仿宋" w:cs="仿宋"/>
          <w:sz w:val="28"/>
          <w:szCs w:val="28"/>
        </w:rPr>
        <w:t xml:space="preserve"> </w:t>
      </w:r>
      <w:r>
        <w:rPr>
          <w:rFonts w:ascii="仿宋" w:hAnsi="仿宋" w:eastAsia="仿宋" w:cs="仿宋"/>
          <w:spacing w:val="-1"/>
          <w:sz w:val="28"/>
          <w:szCs w:val="28"/>
        </w:rPr>
        <w:t>织存在控制、共同控制或者重大影响关系的个人或者组织；</w:t>
      </w:r>
    </w:p>
    <w:p w14:paraId="3CD09F42">
      <w:pPr>
        <w:spacing w:before="228" w:line="295" w:lineRule="auto"/>
        <w:ind w:left="34" w:right="93" w:firstLine="557"/>
        <w:rPr>
          <w:rFonts w:ascii="仿宋" w:hAnsi="仿宋" w:eastAsia="仿宋" w:cs="仿宋"/>
          <w:sz w:val="28"/>
          <w:szCs w:val="28"/>
        </w:rPr>
      </w:pPr>
      <w:r>
        <w:rPr>
          <w:rFonts w:ascii="仿宋" w:hAnsi="仿宋" w:eastAsia="仿宋" w:cs="仿宋"/>
          <w:spacing w:val="-4"/>
          <w:sz w:val="28"/>
          <w:szCs w:val="28"/>
        </w:rPr>
        <w:t>（五）本组织的联系人、联系方式，以本组织名义开通的门户网</w:t>
      </w:r>
      <w:r>
        <w:rPr>
          <w:rFonts w:ascii="仿宋" w:hAnsi="仿宋" w:eastAsia="仿宋" w:cs="仿宋"/>
          <w:sz w:val="28"/>
          <w:szCs w:val="28"/>
        </w:rPr>
        <w:t xml:space="preserve"> </w:t>
      </w:r>
      <w:r>
        <w:rPr>
          <w:rFonts w:ascii="仿宋" w:hAnsi="仿宋" w:eastAsia="仿宋" w:cs="仿宋"/>
          <w:spacing w:val="-1"/>
          <w:sz w:val="28"/>
          <w:szCs w:val="28"/>
        </w:rPr>
        <w:t>站、官方微博、官方微信或者移动客户端等网络平台；</w:t>
      </w:r>
    </w:p>
    <w:p w14:paraId="43731459">
      <w:pPr>
        <w:spacing w:before="224" w:line="296" w:lineRule="auto"/>
        <w:ind w:left="33" w:right="93" w:firstLine="558"/>
        <w:rPr>
          <w:rFonts w:ascii="仿宋" w:hAnsi="仿宋" w:eastAsia="仿宋" w:cs="仿宋"/>
          <w:sz w:val="28"/>
          <w:szCs w:val="28"/>
        </w:rPr>
      </w:pPr>
      <w:r>
        <w:rPr>
          <w:rFonts w:ascii="仿宋" w:hAnsi="仿宋" w:eastAsia="仿宋" w:cs="仿宋"/>
          <w:spacing w:val="-4"/>
          <w:sz w:val="28"/>
          <w:szCs w:val="28"/>
        </w:rPr>
        <w:t>（六）本组织的信息公开制度、项目管理制度、财务和资产管理</w:t>
      </w:r>
      <w:r>
        <w:rPr>
          <w:rFonts w:ascii="仿宋" w:hAnsi="仿宋" w:eastAsia="仿宋" w:cs="仿宋"/>
          <w:sz w:val="28"/>
          <w:szCs w:val="28"/>
        </w:rPr>
        <w:t xml:space="preserve"> </w:t>
      </w:r>
      <w:r>
        <w:rPr>
          <w:rFonts w:ascii="仿宋" w:hAnsi="仿宋" w:eastAsia="仿宋" w:cs="仿宋"/>
          <w:spacing w:val="-6"/>
          <w:sz w:val="28"/>
          <w:szCs w:val="28"/>
        </w:rPr>
        <w:t>制度。</w:t>
      </w:r>
    </w:p>
    <w:p w14:paraId="78696405">
      <w:pPr>
        <w:spacing w:before="221" w:line="354" w:lineRule="auto"/>
        <w:ind w:left="39" w:right="93" w:firstLine="552"/>
        <w:rPr>
          <w:rFonts w:ascii="仿宋" w:hAnsi="仿宋" w:eastAsia="仿宋" w:cs="仿宋"/>
          <w:sz w:val="28"/>
          <w:szCs w:val="28"/>
        </w:rPr>
      </w:pPr>
      <w:r>
        <w:rPr>
          <w:rFonts w:ascii="仿宋" w:hAnsi="仿宋" w:eastAsia="仿宋" w:cs="仿宋"/>
          <w:spacing w:val="-4"/>
          <w:sz w:val="28"/>
          <w:szCs w:val="28"/>
        </w:rPr>
        <w:t>基本信息中属于慈善组织登记事项的，由民政部门予以公开，慈</w:t>
      </w:r>
      <w:r>
        <w:rPr>
          <w:rFonts w:ascii="仿宋" w:hAnsi="仿宋" w:eastAsia="仿宋" w:cs="仿宋"/>
          <w:sz w:val="28"/>
          <w:szCs w:val="28"/>
        </w:rPr>
        <w:t xml:space="preserve"> </w:t>
      </w:r>
      <w:r>
        <w:rPr>
          <w:rFonts w:ascii="仿宋" w:hAnsi="仿宋" w:eastAsia="仿宋" w:cs="仿宋"/>
          <w:spacing w:val="-3"/>
          <w:sz w:val="28"/>
          <w:szCs w:val="28"/>
        </w:rPr>
        <w:t>善组织可以免予公开。</w:t>
      </w:r>
    </w:p>
    <w:p w14:paraId="2391412B">
      <w:pPr>
        <w:spacing w:before="46" w:line="222" w:lineRule="auto"/>
        <w:ind w:left="603"/>
        <w:rPr>
          <w:rFonts w:ascii="仿宋" w:hAnsi="仿宋" w:eastAsia="仿宋" w:cs="仿宋"/>
          <w:sz w:val="28"/>
          <w:szCs w:val="28"/>
        </w:rPr>
      </w:pPr>
      <w:r>
        <w:rPr>
          <w:rFonts w:ascii="仿宋" w:hAnsi="仿宋" w:eastAsia="仿宋" w:cs="仿宋"/>
          <w:b/>
          <w:bCs/>
          <w:spacing w:val="-2"/>
          <w:sz w:val="28"/>
          <w:szCs w:val="28"/>
        </w:rPr>
        <w:t>第一百三十七条</w:t>
      </w:r>
      <w:r>
        <w:rPr>
          <w:rFonts w:ascii="仿宋" w:hAnsi="仿宋" w:eastAsia="仿宋" w:cs="仿宋"/>
          <w:spacing w:val="-2"/>
          <w:sz w:val="28"/>
          <w:szCs w:val="28"/>
        </w:rPr>
        <w:t xml:space="preserve"> 应当公开的基本信息还包括：</w:t>
      </w:r>
    </w:p>
    <w:p w14:paraId="6548FF54">
      <w:pPr>
        <w:spacing w:before="224" w:line="296" w:lineRule="auto"/>
        <w:ind w:left="49" w:right="93" w:firstLine="543"/>
        <w:rPr>
          <w:rFonts w:ascii="仿宋" w:hAnsi="仿宋" w:eastAsia="仿宋" w:cs="仿宋"/>
          <w:sz w:val="28"/>
          <w:szCs w:val="28"/>
        </w:rPr>
      </w:pPr>
      <w:r>
        <w:rPr>
          <w:rFonts w:ascii="仿宋" w:hAnsi="仿宋" w:eastAsia="仿宋" w:cs="仿宋"/>
          <w:spacing w:val="6"/>
          <w:sz w:val="28"/>
          <w:szCs w:val="28"/>
        </w:rPr>
        <w:t>（一）按年度公开在本组织领取报酬从高到低排序前五位人员</w:t>
      </w:r>
      <w:r>
        <w:rPr>
          <w:rFonts w:ascii="仿宋" w:hAnsi="仿宋" w:eastAsia="仿宋" w:cs="仿宋"/>
          <w:spacing w:val="5"/>
          <w:sz w:val="28"/>
          <w:szCs w:val="28"/>
        </w:rPr>
        <w:t xml:space="preserve"> </w:t>
      </w:r>
      <w:r>
        <w:rPr>
          <w:rFonts w:ascii="仿宋" w:hAnsi="仿宋" w:eastAsia="仿宋" w:cs="仿宋"/>
          <w:spacing w:val="-6"/>
          <w:sz w:val="28"/>
          <w:szCs w:val="28"/>
        </w:rPr>
        <w:t>的报酬金额；</w:t>
      </w:r>
    </w:p>
    <w:p w14:paraId="41007D0C">
      <w:pPr>
        <w:spacing w:before="223" w:line="296" w:lineRule="auto"/>
        <w:ind w:left="36" w:firstLine="556"/>
        <w:rPr>
          <w:rFonts w:ascii="仿宋" w:hAnsi="仿宋" w:eastAsia="仿宋" w:cs="仿宋"/>
          <w:sz w:val="28"/>
          <w:szCs w:val="28"/>
        </w:rPr>
      </w:pPr>
      <w:r>
        <w:rPr>
          <w:rFonts w:ascii="仿宋" w:hAnsi="仿宋" w:eastAsia="仿宋" w:cs="仿宋"/>
          <w:spacing w:val="-10"/>
          <w:sz w:val="28"/>
          <w:szCs w:val="28"/>
        </w:rPr>
        <w:t>（二）本组织出国（境）经费、车辆购置及运</w:t>
      </w:r>
      <w:r>
        <w:rPr>
          <w:rFonts w:ascii="仿宋" w:hAnsi="仿宋" w:eastAsia="仿宋" w:cs="仿宋"/>
          <w:spacing w:val="-11"/>
          <w:sz w:val="28"/>
          <w:szCs w:val="28"/>
        </w:rPr>
        <w:t>行费用、招待费用、</w:t>
      </w:r>
      <w:r>
        <w:rPr>
          <w:rFonts w:ascii="仿宋" w:hAnsi="仿宋" w:eastAsia="仿宋" w:cs="仿宋"/>
          <w:sz w:val="28"/>
          <w:szCs w:val="28"/>
        </w:rPr>
        <w:t xml:space="preserve"> </w:t>
      </w:r>
      <w:r>
        <w:rPr>
          <w:rFonts w:ascii="仿宋" w:hAnsi="仿宋" w:eastAsia="仿宋" w:cs="仿宋"/>
          <w:spacing w:val="-3"/>
          <w:sz w:val="28"/>
          <w:szCs w:val="28"/>
        </w:rPr>
        <w:t>差旅费用的标准。</w:t>
      </w:r>
    </w:p>
    <w:p w14:paraId="77940ABB">
      <w:pPr>
        <w:spacing w:before="222" w:line="352" w:lineRule="auto"/>
        <w:ind w:left="45" w:right="93" w:firstLine="558"/>
        <w:rPr>
          <w:rFonts w:ascii="仿宋" w:hAnsi="仿宋" w:eastAsia="仿宋" w:cs="仿宋"/>
          <w:sz w:val="28"/>
          <w:szCs w:val="28"/>
        </w:rPr>
      </w:pPr>
      <w:r>
        <w:rPr>
          <w:rFonts w:ascii="仿宋" w:hAnsi="仿宋" w:eastAsia="仿宋" w:cs="仿宋"/>
          <w:b/>
          <w:bCs/>
          <w:sz w:val="28"/>
          <w:szCs w:val="28"/>
        </w:rPr>
        <w:t>第一百三十八条</w:t>
      </w:r>
      <w:r>
        <w:rPr>
          <w:rFonts w:ascii="仿宋" w:hAnsi="仿宋" w:eastAsia="仿宋" w:cs="仿宋"/>
          <w:sz w:val="28"/>
          <w:szCs w:val="28"/>
        </w:rPr>
        <w:t xml:space="preserve"> 基金会定向捐赠活动，应当在活动</w:t>
      </w:r>
      <w:r>
        <w:rPr>
          <w:rFonts w:ascii="仿宋" w:hAnsi="仿宋" w:eastAsia="仿宋" w:cs="仿宋"/>
          <w:spacing w:val="-1"/>
          <w:sz w:val="28"/>
          <w:szCs w:val="28"/>
        </w:rPr>
        <w:t>结束后三个</w:t>
      </w:r>
      <w:r>
        <w:rPr>
          <w:rFonts w:ascii="仿宋" w:hAnsi="仿宋" w:eastAsia="仿宋" w:cs="仿宋"/>
          <w:sz w:val="28"/>
          <w:szCs w:val="28"/>
        </w:rPr>
        <w:t xml:space="preserve"> </w:t>
      </w:r>
      <w:r>
        <w:rPr>
          <w:rFonts w:ascii="仿宋" w:hAnsi="仿宋" w:eastAsia="仿宋" w:cs="仿宋"/>
          <w:spacing w:val="-2"/>
          <w:sz w:val="28"/>
          <w:szCs w:val="28"/>
        </w:rPr>
        <w:t>月内在统一信息平台公开下列信息：</w:t>
      </w:r>
    </w:p>
    <w:p w14:paraId="5E5C4845">
      <w:pPr>
        <w:spacing w:before="51" w:line="222" w:lineRule="auto"/>
        <w:ind w:left="592"/>
        <w:rPr>
          <w:rFonts w:ascii="仿宋" w:hAnsi="仿宋" w:eastAsia="仿宋" w:cs="仿宋"/>
          <w:sz w:val="28"/>
          <w:szCs w:val="28"/>
        </w:rPr>
      </w:pPr>
      <w:r>
        <w:rPr>
          <w:rFonts w:ascii="仿宋" w:hAnsi="仿宋" w:eastAsia="仿宋" w:cs="仿宋"/>
          <w:spacing w:val="-2"/>
          <w:sz w:val="28"/>
          <w:szCs w:val="28"/>
        </w:rPr>
        <w:t>（一）募得款物情况；</w:t>
      </w:r>
    </w:p>
    <w:p w14:paraId="69B777D9">
      <w:pPr>
        <w:spacing w:before="223" w:line="222" w:lineRule="auto"/>
        <w:ind w:left="592"/>
        <w:rPr>
          <w:rFonts w:ascii="仿宋" w:hAnsi="仿宋" w:eastAsia="仿宋" w:cs="仿宋"/>
          <w:sz w:val="28"/>
          <w:szCs w:val="28"/>
        </w:rPr>
      </w:pPr>
      <w:r>
        <w:rPr>
          <w:rFonts w:ascii="仿宋" w:hAnsi="仿宋" w:eastAsia="仿宋" w:cs="仿宋"/>
          <w:spacing w:val="-8"/>
          <w:sz w:val="28"/>
          <w:szCs w:val="28"/>
        </w:rPr>
        <w:t>（二）已经使用的募得款物的用途，包括用于慈善项目和</w:t>
      </w:r>
      <w:r>
        <w:rPr>
          <w:rFonts w:ascii="仿宋" w:hAnsi="仿宋" w:eastAsia="仿宋" w:cs="仿宋"/>
          <w:spacing w:val="-9"/>
          <w:sz w:val="28"/>
          <w:szCs w:val="28"/>
        </w:rPr>
        <w:t>其他 用</w:t>
      </w:r>
    </w:p>
    <w:p w14:paraId="3F08D9C4">
      <w:pPr>
        <w:spacing w:line="222" w:lineRule="auto"/>
        <w:rPr>
          <w:rFonts w:ascii="仿宋" w:hAnsi="仿宋" w:eastAsia="仿宋" w:cs="仿宋"/>
          <w:sz w:val="28"/>
          <w:szCs w:val="28"/>
        </w:rPr>
        <w:sectPr>
          <w:pgSz w:w="11906" w:h="16839"/>
          <w:pgMar w:top="400" w:right="1705" w:bottom="400" w:left="1785" w:header="0" w:footer="850" w:gutter="0"/>
          <w:pgNumType w:fmt="decimal"/>
          <w:cols w:space="720" w:num="1"/>
        </w:sectPr>
      </w:pPr>
    </w:p>
    <w:p w14:paraId="5C636940">
      <w:pPr>
        <w:spacing w:line="287" w:lineRule="auto"/>
        <w:rPr>
          <w:rFonts w:ascii="Arial"/>
          <w:sz w:val="21"/>
        </w:rPr>
      </w:pPr>
    </w:p>
    <w:p w14:paraId="4A133177">
      <w:pPr>
        <w:spacing w:line="287" w:lineRule="auto"/>
        <w:rPr>
          <w:rFonts w:ascii="Arial"/>
          <w:sz w:val="21"/>
        </w:rPr>
      </w:pPr>
    </w:p>
    <w:p w14:paraId="4E4A6B8C">
      <w:pPr>
        <w:spacing w:line="288" w:lineRule="auto"/>
        <w:rPr>
          <w:rFonts w:ascii="Arial"/>
          <w:sz w:val="21"/>
        </w:rPr>
      </w:pPr>
    </w:p>
    <w:p w14:paraId="45CB3727">
      <w:pPr>
        <w:spacing w:line="288" w:lineRule="auto"/>
        <w:rPr>
          <w:rFonts w:ascii="Arial"/>
          <w:sz w:val="21"/>
        </w:rPr>
      </w:pPr>
    </w:p>
    <w:p w14:paraId="5B3F0D83">
      <w:pPr>
        <w:spacing w:before="91" w:line="223" w:lineRule="auto"/>
        <w:ind w:left="34"/>
        <w:rPr>
          <w:rFonts w:ascii="仿宋" w:hAnsi="仿宋" w:eastAsia="仿宋" w:cs="仿宋"/>
          <w:sz w:val="28"/>
          <w:szCs w:val="28"/>
        </w:rPr>
      </w:pPr>
      <w:r>
        <w:rPr>
          <w:rFonts w:ascii="仿宋" w:hAnsi="仿宋" w:eastAsia="仿宋" w:cs="仿宋"/>
          <w:spacing w:val="-3"/>
          <w:sz w:val="28"/>
          <w:szCs w:val="28"/>
        </w:rPr>
        <w:t>途的支出情况；</w:t>
      </w:r>
    </w:p>
    <w:p w14:paraId="598A703E">
      <w:pPr>
        <w:spacing w:before="220" w:line="222" w:lineRule="auto"/>
        <w:ind w:left="592"/>
        <w:rPr>
          <w:rFonts w:ascii="仿宋" w:hAnsi="仿宋" w:eastAsia="仿宋" w:cs="仿宋"/>
          <w:sz w:val="28"/>
          <w:szCs w:val="28"/>
        </w:rPr>
      </w:pPr>
      <w:r>
        <w:rPr>
          <w:rFonts w:ascii="仿宋" w:hAnsi="仿宋" w:eastAsia="仿宋" w:cs="仿宋"/>
          <w:spacing w:val="-1"/>
          <w:sz w:val="28"/>
          <w:szCs w:val="28"/>
        </w:rPr>
        <w:t>（三）尚未使用的募得款物的使用计划。</w:t>
      </w:r>
    </w:p>
    <w:p w14:paraId="7A4E9BB6">
      <w:pPr>
        <w:spacing w:before="222" w:line="354" w:lineRule="auto"/>
        <w:ind w:left="68" w:right="93" w:firstLine="535"/>
        <w:rPr>
          <w:rFonts w:ascii="仿宋" w:hAnsi="仿宋" w:eastAsia="仿宋" w:cs="仿宋"/>
          <w:sz w:val="28"/>
          <w:szCs w:val="28"/>
        </w:rPr>
      </w:pPr>
      <w:r>
        <w:rPr>
          <w:rFonts w:ascii="仿宋" w:hAnsi="仿宋" w:eastAsia="仿宋" w:cs="仿宋"/>
          <w:b/>
          <w:bCs/>
          <w:spacing w:val="-8"/>
          <w:sz w:val="28"/>
          <w:szCs w:val="28"/>
        </w:rPr>
        <w:t>第一百三十九条</w:t>
      </w:r>
      <w:r>
        <w:rPr>
          <w:rFonts w:ascii="仿宋" w:hAnsi="仿宋" w:eastAsia="仿宋" w:cs="仿宋"/>
          <w:spacing w:val="-8"/>
          <w:sz w:val="28"/>
          <w:szCs w:val="28"/>
        </w:rPr>
        <w:t xml:space="preserve"> 发生下列情形后</w:t>
      </w:r>
      <w:r>
        <w:rPr>
          <w:rFonts w:ascii="仿宋" w:hAnsi="仿宋" w:eastAsia="仿宋" w:cs="仿宋"/>
          <w:spacing w:val="-45"/>
          <w:sz w:val="28"/>
          <w:szCs w:val="28"/>
        </w:rPr>
        <w:t xml:space="preserve"> </w:t>
      </w:r>
      <w:r>
        <w:rPr>
          <w:rFonts w:ascii="仿宋" w:hAnsi="仿宋" w:eastAsia="仿宋" w:cs="仿宋"/>
          <w:spacing w:val="-8"/>
          <w:sz w:val="28"/>
          <w:szCs w:val="28"/>
        </w:rPr>
        <w:t>30 日内，应当在统一信息平台</w:t>
      </w:r>
      <w:r>
        <w:rPr>
          <w:rFonts w:ascii="仿宋" w:hAnsi="仿宋" w:eastAsia="仿宋" w:cs="仿宋"/>
          <w:sz w:val="28"/>
          <w:szCs w:val="28"/>
        </w:rPr>
        <w:t xml:space="preserve"> </w:t>
      </w:r>
      <w:r>
        <w:rPr>
          <w:rFonts w:ascii="仿宋" w:hAnsi="仿宋" w:eastAsia="仿宋" w:cs="仿宋"/>
          <w:spacing w:val="-4"/>
          <w:sz w:val="28"/>
          <w:szCs w:val="28"/>
        </w:rPr>
        <w:t>向社会 公开具体内容和金额：</w:t>
      </w:r>
    </w:p>
    <w:p w14:paraId="3864583C">
      <w:pPr>
        <w:spacing w:before="47" w:line="223" w:lineRule="auto"/>
        <w:ind w:left="592"/>
        <w:rPr>
          <w:rFonts w:ascii="仿宋" w:hAnsi="仿宋" w:eastAsia="仿宋" w:cs="仿宋"/>
          <w:sz w:val="28"/>
          <w:szCs w:val="28"/>
        </w:rPr>
      </w:pPr>
      <w:r>
        <w:rPr>
          <w:rFonts w:ascii="仿宋" w:hAnsi="仿宋" w:eastAsia="仿宋" w:cs="仿宋"/>
          <w:spacing w:val="-2"/>
          <w:sz w:val="28"/>
          <w:szCs w:val="28"/>
        </w:rPr>
        <w:t>（一）重大资产变动；</w:t>
      </w:r>
    </w:p>
    <w:p w14:paraId="7FBDE151">
      <w:pPr>
        <w:spacing w:before="220" w:line="223" w:lineRule="auto"/>
        <w:ind w:left="592"/>
        <w:rPr>
          <w:rFonts w:ascii="仿宋" w:hAnsi="仿宋" w:eastAsia="仿宋" w:cs="仿宋"/>
          <w:sz w:val="28"/>
          <w:szCs w:val="28"/>
        </w:rPr>
      </w:pPr>
      <w:r>
        <w:rPr>
          <w:rFonts w:ascii="仿宋" w:hAnsi="仿宋" w:eastAsia="仿宋" w:cs="仿宋"/>
          <w:spacing w:val="-3"/>
          <w:sz w:val="28"/>
          <w:szCs w:val="28"/>
        </w:rPr>
        <w:t>（二）重大投资；</w:t>
      </w:r>
    </w:p>
    <w:p w14:paraId="74DEEC5F">
      <w:pPr>
        <w:spacing w:before="224" w:line="222" w:lineRule="auto"/>
        <w:ind w:left="592"/>
        <w:rPr>
          <w:rFonts w:ascii="仿宋" w:hAnsi="仿宋" w:eastAsia="仿宋" w:cs="仿宋"/>
          <w:sz w:val="28"/>
          <w:szCs w:val="28"/>
        </w:rPr>
      </w:pPr>
      <w:r>
        <w:rPr>
          <w:rFonts w:ascii="仿宋" w:hAnsi="仿宋" w:eastAsia="仿宋" w:cs="仿宋"/>
          <w:spacing w:val="-2"/>
          <w:sz w:val="28"/>
          <w:szCs w:val="28"/>
        </w:rPr>
        <w:t>（三）重大交易及资金往来。</w:t>
      </w:r>
    </w:p>
    <w:p w14:paraId="0793405C">
      <w:pPr>
        <w:spacing w:before="224" w:line="359" w:lineRule="auto"/>
        <w:ind w:left="33" w:right="93" w:firstLine="561"/>
        <w:jc w:val="both"/>
        <w:rPr>
          <w:rFonts w:ascii="仿宋" w:hAnsi="仿宋" w:eastAsia="仿宋" w:cs="仿宋"/>
          <w:sz w:val="28"/>
          <w:szCs w:val="28"/>
        </w:rPr>
      </w:pPr>
      <w:r>
        <w:rPr>
          <w:rFonts w:ascii="仿宋" w:hAnsi="仿宋" w:eastAsia="仿宋" w:cs="仿宋"/>
          <w:spacing w:val="1"/>
          <w:sz w:val="28"/>
          <w:szCs w:val="28"/>
        </w:rPr>
        <w:t>前款中规定的重大资产变动、重大投资、重大交易及资</w:t>
      </w:r>
      <w:r>
        <w:rPr>
          <w:rFonts w:ascii="仿宋" w:hAnsi="仿宋" w:eastAsia="仿宋" w:cs="仿宋"/>
          <w:sz w:val="28"/>
          <w:szCs w:val="28"/>
        </w:rPr>
        <w:t xml:space="preserve">金往 来 </w:t>
      </w:r>
      <w:r>
        <w:rPr>
          <w:rFonts w:ascii="仿宋" w:hAnsi="仿宋" w:eastAsia="仿宋" w:cs="仿宋"/>
          <w:spacing w:val="-4"/>
          <w:sz w:val="28"/>
          <w:szCs w:val="28"/>
        </w:rPr>
        <w:t>的具体标准，依据有关法律法规规章在本组织章程或者财务资产管理</w:t>
      </w:r>
      <w:r>
        <w:rPr>
          <w:rFonts w:ascii="仿宋" w:hAnsi="仿宋" w:eastAsia="仿宋" w:cs="仿宋"/>
          <w:spacing w:val="5"/>
          <w:sz w:val="28"/>
          <w:szCs w:val="28"/>
        </w:rPr>
        <w:t xml:space="preserve"> </w:t>
      </w:r>
      <w:r>
        <w:rPr>
          <w:rFonts w:ascii="仿宋" w:hAnsi="仿宋" w:eastAsia="仿宋" w:cs="仿宋"/>
          <w:spacing w:val="-3"/>
          <w:sz w:val="28"/>
          <w:szCs w:val="28"/>
        </w:rPr>
        <w:t>制度中规定。</w:t>
      </w:r>
    </w:p>
    <w:p w14:paraId="1658E003">
      <w:pPr>
        <w:spacing w:before="45" w:line="353" w:lineRule="auto"/>
        <w:ind w:left="37" w:right="93" w:firstLine="566"/>
        <w:rPr>
          <w:rFonts w:ascii="仿宋" w:hAnsi="仿宋" w:eastAsia="仿宋" w:cs="仿宋"/>
          <w:sz w:val="28"/>
          <w:szCs w:val="28"/>
        </w:rPr>
      </w:pPr>
      <w:r>
        <w:rPr>
          <w:rFonts w:ascii="仿宋" w:hAnsi="仿宋" w:eastAsia="仿宋" w:cs="仿宋"/>
          <w:b/>
          <w:bCs/>
          <w:spacing w:val="-8"/>
          <w:sz w:val="28"/>
          <w:szCs w:val="28"/>
        </w:rPr>
        <w:t>第一百四十条</w:t>
      </w:r>
      <w:r>
        <w:rPr>
          <w:rFonts w:ascii="仿宋" w:hAnsi="仿宋" w:eastAsia="仿宋" w:cs="仿宋"/>
          <w:spacing w:val="-8"/>
          <w:sz w:val="28"/>
          <w:szCs w:val="28"/>
        </w:rPr>
        <w:t xml:space="preserve"> 在下列关联交易等行为发生后</w:t>
      </w:r>
      <w:r>
        <w:rPr>
          <w:rFonts w:ascii="仿宋" w:hAnsi="仿宋" w:eastAsia="仿宋" w:cs="仿宋"/>
          <w:spacing w:val="-42"/>
          <w:sz w:val="28"/>
          <w:szCs w:val="28"/>
        </w:rPr>
        <w:t xml:space="preserve"> </w:t>
      </w:r>
      <w:r>
        <w:rPr>
          <w:rFonts w:ascii="仿宋" w:hAnsi="仿宋" w:eastAsia="仿宋" w:cs="仿宋"/>
          <w:spacing w:val="-8"/>
          <w:sz w:val="28"/>
          <w:szCs w:val="28"/>
        </w:rPr>
        <w:t>30 日内，应当在统</w:t>
      </w:r>
      <w:r>
        <w:rPr>
          <w:rFonts w:ascii="仿宋" w:hAnsi="仿宋" w:eastAsia="仿宋" w:cs="仿宋"/>
          <w:sz w:val="28"/>
          <w:szCs w:val="28"/>
        </w:rPr>
        <w:t xml:space="preserve"> </w:t>
      </w:r>
      <w:r>
        <w:rPr>
          <w:rFonts w:ascii="仿宋" w:hAnsi="仿宋" w:eastAsia="仿宋" w:cs="仿宋"/>
          <w:spacing w:val="-2"/>
          <w:sz w:val="28"/>
          <w:szCs w:val="28"/>
        </w:rPr>
        <w:t>一信息平台向社会公开具体内容和金额：</w:t>
      </w:r>
    </w:p>
    <w:p w14:paraId="18A0A5D8">
      <w:pPr>
        <w:spacing w:before="50" w:line="223" w:lineRule="auto"/>
        <w:ind w:left="592"/>
        <w:rPr>
          <w:rFonts w:ascii="仿宋" w:hAnsi="仿宋" w:eastAsia="仿宋" w:cs="仿宋"/>
          <w:sz w:val="28"/>
          <w:szCs w:val="28"/>
        </w:rPr>
      </w:pPr>
      <w:r>
        <w:rPr>
          <w:rFonts w:ascii="仿宋" w:hAnsi="仿宋" w:eastAsia="仿宋" w:cs="仿宋"/>
          <w:spacing w:val="-2"/>
          <w:sz w:val="28"/>
          <w:szCs w:val="28"/>
        </w:rPr>
        <w:t>（一）接受重要关联方捐赠；</w:t>
      </w:r>
    </w:p>
    <w:p w14:paraId="09F3FF05">
      <w:pPr>
        <w:spacing w:before="220" w:line="222" w:lineRule="auto"/>
        <w:ind w:left="592"/>
        <w:rPr>
          <w:rFonts w:ascii="仿宋" w:hAnsi="仿宋" w:eastAsia="仿宋" w:cs="仿宋"/>
          <w:sz w:val="28"/>
          <w:szCs w:val="28"/>
        </w:rPr>
      </w:pPr>
      <w:r>
        <w:rPr>
          <w:rFonts w:ascii="仿宋" w:hAnsi="仿宋" w:eastAsia="仿宋" w:cs="仿宋"/>
          <w:spacing w:val="-2"/>
          <w:sz w:val="28"/>
          <w:szCs w:val="28"/>
        </w:rPr>
        <w:t>（二）对重要关联方进行资助；</w:t>
      </w:r>
    </w:p>
    <w:p w14:paraId="13A18819">
      <w:pPr>
        <w:spacing w:before="223" w:line="223" w:lineRule="auto"/>
        <w:ind w:left="592"/>
        <w:rPr>
          <w:rFonts w:ascii="仿宋" w:hAnsi="仿宋" w:eastAsia="仿宋" w:cs="仿宋"/>
          <w:sz w:val="28"/>
          <w:szCs w:val="28"/>
        </w:rPr>
      </w:pPr>
      <w:r>
        <w:rPr>
          <w:rFonts w:ascii="仿宋" w:hAnsi="仿宋" w:eastAsia="仿宋" w:cs="仿宋"/>
          <w:spacing w:val="-2"/>
          <w:sz w:val="28"/>
          <w:szCs w:val="28"/>
        </w:rPr>
        <w:t>（三）与重要关联方共同投资；</w:t>
      </w:r>
    </w:p>
    <w:p w14:paraId="7419A88E">
      <w:pPr>
        <w:spacing w:before="224" w:line="223" w:lineRule="auto"/>
        <w:ind w:left="592"/>
        <w:rPr>
          <w:rFonts w:ascii="仿宋" w:hAnsi="仿宋" w:eastAsia="仿宋" w:cs="仿宋"/>
          <w:sz w:val="28"/>
          <w:szCs w:val="28"/>
        </w:rPr>
      </w:pPr>
      <w:r>
        <w:rPr>
          <w:rFonts w:ascii="仿宋" w:hAnsi="仿宋" w:eastAsia="仿宋" w:cs="仿宋"/>
          <w:spacing w:val="-2"/>
          <w:sz w:val="28"/>
          <w:szCs w:val="28"/>
        </w:rPr>
        <w:t>（四）委托重要关联方开展投资活动；</w:t>
      </w:r>
    </w:p>
    <w:p w14:paraId="594B58F4">
      <w:pPr>
        <w:spacing w:before="221" w:line="223" w:lineRule="auto"/>
        <w:ind w:left="592"/>
        <w:rPr>
          <w:rFonts w:ascii="仿宋" w:hAnsi="仿宋" w:eastAsia="仿宋" w:cs="仿宋"/>
          <w:sz w:val="28"/>
          <w:szCs w:val="28"/>
        </w:rPr>
      </w:pPr>
      <w:r>
        <w:rPr>
          <w:rFonts w:ascii="仿宋" w:hAnsi="仿宋" w:eastAsia="仿宋" w:cs="仿宋"/>
          <w:spacing w:val="-2"/>
          <w:sz w:val="28"/>
          <w:szCs w:val="28"/>
        </w:rPr>
        <w:t>（五）与重要关联方发生交易；</w:t>
      </w:r>
    </w:p>
    <w:p w14:paraId="6B69FA97">
      <w:pPr>
        <w:spacing w:before="221" w:line="222" w:lineRule="auto"/>
        <w:ind w:left="592"/>
        <w:rPr>
          <w:rFonts w:ascii="仿宋" w:hAnsi="仿宋" w:eastAsia="仿宋" w:cs="仿宋"/>
          <w:sz w:val="28"/>
          <w:szCs w:val="28"/>
        </w:rPr>
      </w:pPr>
      <w:r>
        <w:rPr>
          <w:rFonts w:ascii="仿宋" w:hAnsi="仿宋" w:eastAsia="仿宋" w:cs="仿宋"/>
          <w:spacing w:val="-2"/>
          <w:sz w:val="28"/>
          <w:szCs w:val="28"/>
        </w:rPr>
        <w:t>（六）与重要关联方发生资金往来。</w:t>
      </w:r>
    </w:p>
    <w:p w14:paraId="77423317">
      <w:pPr>
        <w:spacing w:before="220" w:line="359" w:lineRule="auto"/>
        <w:ind w:left="33" w:firstLine="570"/>
        <w:jc w:val="both"/>
        <w:rPr>
          <w:rFonts w:ascii="仿宋" w:hAnsi="仿宋" w:eastAsia="仿宋" w:cs="仿宋"/>
          <w:sz w:val="28"/>
          <w:szCs w:val="28"/>
        </w:rPr>
      </w:pPr>
      <w:r>
        <w:rPr>
          <w:rFonts w:ascii="仿宋" w:hAnsi="仿宋" w:eastAsia="仿宋" w:cs="仿宋"/>
          <w:b/>
          <w:bCs/>
          <w:sz w:val="28"/>
          <w:szCs w:val="28"/>
        </w:rPr>
        <w:t>第一百四十一条</w:t>
      </w:r>
      <w:r>
        <w:rPr>
          <w:rFonts w:ascii="仿宋" w:hAnsi="仿宋" w:eastAsia="仿宋" w:cs="仿宋"/>
          <w:sz w:val="28"/>
          <w:szCs w:val="28"/>
        </w:rPr>
        <w:t xml:space="preserve"> 涉及国家秘密、商业秘密、个人隐</w:t>
      </w:r>
      <w:r>
        <w:rPr>
          <w:rFonts w:ascii="仿宋" w:hAnsi="仿宋" w:eastAsia="仿宋" w:cs="仿宋"/>
          <w:spacing w:val="-1"/>
          <w:sz w:val="28"/>
          <w:szCs w:val="28"/>
        </w:rPr>
        <w:t>私的信息以</w:t>
      </w:r>
      <w:r>
        <w:rPr>
          <w:rFonts w:ascii="仿宋" w:hAnsi="仿宋" w:eastAsia="仿宋" w:cs="仿宋"/>
          <w:sz w:val="28"/>
          <w:szCs w:val="28"/>
        </w:rPr>
        <w:t xml:space="preserve"> </w:t>
      </w:r>
      <w:r>
        <w:rPr>
          <w:rFonts w:ascii="仿宋" w:hAnsi="仿宋" w:eastAsia="仿宋" w:cs="仿宋"/>
          <w:spacing w:val="-5"/>
          <w:sz w:val="28"/>
          <w:szCs w:val="28"/>
        </w:rPr>
        <w:t>及捐赠人、 志愿者、受益人、慈善信托的委托人不同意</w:t>
      </w:r>
      <w:r>
        <w:rPr>
          <w:rFonts w:ascii="仿宋" w:hAnsi="仿宋" w:eastAsia="仿宋" w:cs="仿宋"/>
          <w:spacing w:val="-6"/>
          <w:sz w:val="28"/>
          <w:szCs w:val="28"/>
        </w:rPr>
        <w:t>公开的姓名、</w:t>
      </w:r>
      <w:r>
        <w:rPr>
          <w:rFonts w:ascii="仿宋" w:hAnsi="仿宋" w:eastAsia="仿宋" w:cs="仿宋"/>
          <w:sz w:val="28"/>
          <w:szCs w:val="28"/>
        </w:rPr>
        <w:t xml:space="preserve"> </w:t>
      </w:r>
      <w:r>
        <w:rPr>
          <w:rFonts w:ascii="仿宋" w:hAnsi="仿宋" w:eastAsia="仿宋" w:cs="仿宋"/>
          <w:spacing w:val="-2"/>
          <w:sz w:val="28"/>
          <w:szCs w:val="28"/>
        </w:rPr>
        <w:t>名称、 住所、通讯方式等信息，不得公开。</w:t>
      </w:r>
    </w:p>
    <w:p w14:paraId="3C2AE207">
      <w:pPr>
        <w:spacing w:before="49" w:line="354" w:lineRule="auto"/>
        <w:ind w:left="32" w:right="93" w:firstLine="571"/>
        <w:rPr>
          <w:rFonts w:ascii="仿宋" w:hAnsi="仿宋" w:eastAsia="仿宋" w:cs="仿宋"/>
          <w:sz w:val="28"/>
          <w:szCs w:val="28"/>
        </w:rPr>
      </w:pPr>
      <w:r>
        <w:rPr>
          <w:rFonts w:ascii="仿宋" w:hAnsi="仿宋" w:eastAsia="仿宋" w:cs="仿宋"/>
          <w:b/>
          <w:bCs/>
          <w:sz w:val="28"/>
          <w:szCs w:val="28"/>
        </w:rPr>
        <w:t>第一百四十二条</w:t>
      </w:r>
      <w:r>
        <w:rPr>
          <w:rFonts w:ascii="仿宋" w:hAnsi="仿宋" w:eastAsia="仿宋" w:cs="仿宋"/>
          <w:sz w:val="28"/>
          <w:szCs w:val="28"/>
        </w:rPr>
        <w:t xml:space="preserve"> 捐赠人有权向基金会查询捐赠财产</w:t>
      </w:r>
      <w:r>
        <w:rPr>
          <w:rFonts w:ascii="仿宋" w:hAnsi="仿宋" w:eastAsia="仿宋" w:cs="仿宋"/>
          <w:spacing w:val="-1"/>
          <w:sz w:val="28"/>
          <w:szCs w:val="28"/>
        </w:rPr>
        <w:t>、物资的使</w:t>
      </w:r>
      <w:r>
        <w:rPr>
          <w:rFonts w:ascii="仿宋" w:hAnsi="仿宋" w:eastAsia="仿宋" w:cs="仿宋"/>
          <w:sz w:val="28"/>
          <w:szCs w:val="28"/>
        </w:rPr>
        <w:t xml:space="preserve"> </w:t>
      </w:r>
      <w:r>
        <w:rPr>
          <w:rFonts w:ascii="仿宋" w:hAnsi="仿宋" w:eastAsia="仿宋" w:cs="仿宋"/>
          <w:spacing w:val="-8"/>
          <w:sz w:val="28"/>
          <w:szCs w:val="28"/>
        </w:rPr>
        <w:t>用、</w:t>
      </w:r>
      <w:r>
        <w:rPr>
          <w:rFonts w:ascii="仿宋" w:hAnsi="仿宋" w:eastAsia="仿宋" w:cs="仿宋"/>
          <w:spacing w:val="38"/>
          <w:sz w:val="28"/>
          <w:szCs w:val="28"/>
        </w:rPr>
        <w:t xml:space="preserve"> </w:t>
      </w:r>
      <w:r>
        <w:rPr>
          <w:rFonts w:ascii="仿宋" w:hAnsi="仿宋" w:eastAsia="仿宋" w:cs="仿宋"/>
          <w:spacing w:val="-8"/>
          <w:sz w:val="28"/>
          <w:szCs w:val="28"/>
        </w:rPr>
        <w:t>管理情况。</w:t>
      </w:r>
    </w:p>
    <w:p w14:paraId="06F9F6C0">
      <w:pPr>
        <w:spacing w:before="47" w:line="222" w:lineRule="auto"/>
        <w:ind w:left="2494"/>
        <w:rPr>
          <w:rFonts w:ascii="黑体" w:hAnsi="黑体" w:eastAsia="黑体" w:cs="黑体"/>
          <w:sz w:val="28"/>
          <w:szCs w:val="28"/>
        </w:rPr>
      </w:pPr>
      <w:r>
        <w:rPr>
          <w:rFonts w:ascii="黑体" w:hAnsi="黑体" w:eastAsia="黑体" w:cs="黑体"/>
          <w:b/>
          <w:bCs/>
          <w:spacing w:val="-3"/>
          <w:sz w:val="28"/>
          <w:szCs w:val="28"/>
        </w:rPr>
        <w:t>第四十八章</w:t>
      </w:r>
      <w:r>
        <w:rPr>
          <w:rFonts w:ascii="黑体" w:hAnsi="黑体" w:eastAsia="黑体" w:cs="黑体"/>
          <w:spacing w:val="-3"/>
          <w:sz w:val="28"/>
          <w:szCs w:val="28"/>
        </w:rPr>
        <w:t xml:space="preserve">  </w:t>
      </w:r>
      <w:r>
        <w:rPr>
          <w:rFonts w:ascii="黑体" w:hAnsi="黑体" w:eastAsia="黑体" w:cs="黑体"/>
          <w:b/>
          <w:bCs/>
          <w:spacing w:val="-3"/>
          <w:sz w:val="28"/>
          <w:szCs w:val="28"/>
        </w:rPr>
        <w:t>信息公开渠道</w:t>
      </w:r>
    </w:p>
    <w:p w14:paraId="2DE0D248">
      <w:pPr>
        <w:spacing w:line="222" w:lineRule="auto"/>
        <w:rPr>
          <w:rFonts w:ascii="黑体" w:hAnsi="黑体" w:eastAsia="黑体" w:cs="黑体"/>
          <w:sz w:val="28"/>
          <w:szCs w:val="28"/>
        </w:rPr>
        <w:sectPr>
          <w:pgSz w:w="11906" w:h="16839"/>
          <w:pgMar w:top="400" w:right="1705" w:bottom="400" w:left="1785" w:header="0" w:footer="850" w:gutter="0"/>
          <w:pgNumType w:fmt="decimal"/>
          <w:cols w:space="720" w:num="1"/>
        </w:sectPr>
      </w:pPr>
    </w:p>
    <w:p w14:paraId="61A9E0E0">
      <w:pPr>
        <w:spacing w:line="286" w:lineRule="auto"/>
        <w:rPr>
          <w:rFonts w:ascii="Arial"/>
          <w:sz w:val="21"/>
        </w:rPr>
      </w:pPr>
    </w:p>
    <w:p w14:paraId="6FD5736B">
      <w:pPr>
        <w:spacing w:line="286" w:lineRule="auto"/>
        <w:rPr>
          <w:rFonts w:ascii="Arial"/>
          <w:sz w:val="21"/>
        </w:rPr>
      </w:pPr>
    </w:p>
    <w:p w14:paraId="2B3C4AA4">
      <w:pPr>
        <w:spacing w:line="287" w:lineRule="auto"/>
        <w:rPr>
          <w:rFonts w:ascii="Arial"/>
          <w:sz w:val="21"/>
        </w:rPr>
      </w:pPr>
    </w:p>
    <w:p w14:paraId="4328AC79">
      <w:pPr>
        <w:spacing w:line="287" w:lineRule="auto"/>
        <w:rPr>
          <w:rFonts w:ascii="Arial"/>
          <w:sz w:val="21"/>
        </w:rPr>
      </w:pPr>
    </w:p>
    <w:p w14:paraId="3493A321">
      <w:pPr>
        <w:spacing w:before="91" w:line="359" w:lineRule="auto"/>
        <w:ind w:left="31" w:firstLine="572"/>
        <w:jc w:val="both"/>
        <w:rPr>
          <w:rFonts w:ascii="仿宋" w:hAnsi="仿宋" w:eastAsia="仿宋" w:cs="仿宋"/>
          <w:sz w:val="28"/>
          <w:szCs w:val="28"/>
        </w:rPr>
      </w:pPr>
      <w:r>
        <w:rPr>
          <w:rFonts w:ascii="仿宋" w:hAnsi="仿宋" w:eastAsia="仿宋" w:cs="仿宋"/>
          <w:b/>
          <w:bCs/>
          <w:sz w:val="28"/>
          <w:szCs w:val="28"/>
        </w:rPr>
        <w:t>第一百四十三条</w:t>
      </w:r>
      <w:r>
        <w:rPr>
          <w:rFonts w:ascii="仿宋" w:hAnsi="仿宋" w:eastAsia="仿宋" w:cs="仿宋"/>
          <w:sz w:val="28"/>
          <w:szCs w:val="28"/>
        </w:rPr>
        <w:t xml:space="preserve"> 信息公开内容可选择如下渠道发布</w:t>
      </w:r>
      <w:r>
        <w:rPr>
          <w:rFonts w:ascii="仿宋" w:hAnsi="仿宋" w:eastAsia="仿宋" w:cs="仿宋"/>
          <w:spacing w:val="-1"/>
          <w:sz w:val="28"/>
          <w:szCs w:val="28"/>
        </w:rPr>
        <w:t>：慈善中国</w:t>
      </w:r>
      <w:r>
        <w:rPr>
          <w:rFonts w:ascii="仿宋" w:hAnsi="仿宋" w:eastAsia="仿宋" w:cs="仿宋"/>
          <w:sz w:val="28"/>
          <w:szCs w:val="28"/>
        </w:rPr>
        <w:t xml:space="preserve"> </w:t>
      </w:r>
      <w:r>
        <w:rPr>
          <w:rFonts w:ascii="仿宋" w:hAnsi="仿宋" w:eastAsia="仿宋" w:cs="仿宋"/>
          <w:spacing w:val="-5"/>
          <w:sz w:val="28"/>
          <w:szCs w:val="28"/>
        </w:rPr>
        <w:t>信息公 开平台、政府部门官方指定网站、基金会网站、微信</w:t>
      </w:r>
      <w:r>
        <w:rPr>
          <w:rFonts w:ascii="仿宋" w:hAnsi="仿宋" w:eastAsia="仿宋" w:cs="仿宋"/>
          <w:spacing w:val="-6"/>
          <w:sz w:val="28"/>
          <w:szCs w:val="28"/>
        </w:rPr>
        <w:t>公众号、</w:t>
      </w:r>
      <w:r>
        <w:rPr>
          <w:rFonts w:ascii="仿宋" w:hAnsi="仿宋" w:eastAsia="仿宋" w:cs="仿宋"/>
          <w:sz w:val="28"/>
          <w:szCs w:val="28"/>
        </w:rPr>
        <w:t xml:space="preserve"> </w:t>
      </w:r>
      <w:r>
        <w:rPr>
          <w:rFonts w:ascii="仿宋" w:hAnsi="仿宋" w:eastAsia="仿宋" w:cs="仿宋"/>
          <w:spacing w:val="-3"/>
          <w:sz w:val="28"/>
          <w:szCs w:val="28"/>
        </w:rPr>
        <w:t>微博等平台。</w:t>
      </w:r>
    </w:p>
    <w:p w14:paraId="7D8F4065">
      <w:pPr>
        <w:spacing w:before="47" w:line="354" w:lineRule="auto"/>
        <w:ind w:left="37" w:right="38" w:firstLine="566"/>
        <w:rPr>
          <w:rFonts w:ascii="仿宋" w:hAnsi="仿宋" w:eastAsia="仿宋" w:cs="仿宋"/>
          <w:sz w:val="28"/>
          <w:szCs w:val="28"/>
        </w:rPr>
      </w:pPr>
      <w:r>
        <w:rPr>
          <w:rFonts w:ascii="仿宋" w:hAnsi="仿宋" w:eastAsia="仿宋" w:cs="仿宋"/>
          <w:b/>
          <w:bCs/>
          <w:sz w:val="28"/>
          <w:szCs w:val="28"/>
        </w:rPr>
        <w:t>第一百四十四条</w:t>
      </w:r>
      <w:r>
        <w:rPr>
          <w:rFonts w:ascii="仿宋" w:hAnsi="仿宋" w:eastAsia="仿宋" w:cs="仿宋"/>
          <w:sz w:val="28"/>
          <w:szCs w:val="28"/>
        </w:rPr>
        <w:t xml:space="preserve"> 如公共媒体上出现的对基金会造成</w:t>
      </w:r>
      <w:r>
        <w:rPr>
          <w:rFonts w:ascii="仿宋" w:hAnsi="仿宋" w:eastAsia="仿宋" w:cs="仿宋"/>
          <w:spacing w:val="-1"/>
          <w:sz w:val="28"/>
          <w:szCs w:val="28"/>
        </w:rPr>
        <w:t>或者可能造</w:t>
      </w:r>
      <w:r>
        <w:rPr>
          <w:rFonts w:ascii="仿宋" w:hAnsi="仿宋" w:eastAsia="仿宋" w:cs="仿宋"/>
          <w:sz w:val="28"/>
          <w:szCs w:val="28"/>
        </w:rPr>
        <w:t xml:space="preserve"> </w:t>
      </w:r>
      <w:r>
        <w:rPr>
          <w:rFonts w:ascii="仿宋" w:hAnsi="仿宋" w:eastAsia="仿宋" w:cs="仿宋"/>
          <w:spacing w:val="-2"/>
          <w:sz w:val="28"/>
          <w:szCs w:val="28"/>
        </w:rPr>
        <w:t>成不利影响的消息，应当由基金会新闻发言人及时公开说明及澄</w:t>
      </w:r>
      <w:r>
        <w:rPr>
          <w:rFonts w:ascii="仿宋" w:hAnsi="仿宋" w:eastAsia="仿宋" w:cs="仿宋"/>
          <w:spacing w:val="-3"/>
          <w:sz w:val="28"/>
          <w:szCs w:val="28"/>
        </w:rPr>
        <w:t>清。</w:t>
      </w:r>
    </w:p>
    <w:p w14:paraId="5B46C007">
      <w:pPr>
        <w:spacing w:before="48" w:line="222" w:lineRule="auto"/>
        <w:ind w:left="2494"/>
        <w:rPr>
          <w:rFonts w:ascii="黑体" w:hAnsi="黑体" w:eastAsia="黑体" w:cs="黑体"/>
          <w:sz w:val="28"/>
          <w:szCs w:val="28"/>
        </w:rPr>
      </w:pPr>
      <w:r>
        <w:rPr>
          <w:rFonts w:ascii="黑体" w:hAnsi="黑体" w:eastAsia="黑体" w:cs="黑体"/>
          <w:b/>
          <w:bCs/>
          <w:spacing w:val="-3"/>
          <w:sz w:val="28"/>
          <w:szCs w:val="28"/>
        </w:rPr>
        <w:t>第四十九章</w:t>
      </w:r>
      <w:r>
        <w:rPr>
          <w:rFonts w:ascii="黑体" w:hAnsi="黑体" w:eastAsia="黑体" w:cs="黑体"/>
          <w:spacing w:val="-3"/>
          <w:sz w:val="28"/>
          <w:szCs w:val="28"/>
        </w:rPr>
        <w:t xml:space="preserve">  </w:t>
      </w:r>
      <w:r>
        <w:rPr>
          <w:rFonts w:ascii="黑体" w:hAnsi="黑体" w:eastAsia="黑体" w:cs="黑体"/>
          <w:b/>
          <w:bCs/>
          <w:spacing w:val="-3"/>
          <w:sz w:val="28"/>
          <w:szCs w:val="28"/>
        </w:rPr>
        <w:t>信息公开管理</w:t>
      </w:r>
    </w:p>
    <w:p w14:paraId="0E7BE986">
      <w:pPr>
        <w:spacing w:before="222" w:line="222" w:lineRule="auto"/>
        <w:ind w:left="603"/>
        <w:rPr>
          <w:rFonts w:ascii="仿宋" w:hAnsi="仿宋" w:eastAsia="仿宋" w:cs="仿宋"/>
          <w:sz w:val="28"/>
          <w:szCs w:val="28"/>
        </w:rPr>
      </w:pPr>
      <w:r>
        <w:rPr>
          <w:rFonts w:ascii="仿宋" w:hAnsi="仿宋" w:eastAsia="仿宋" w:cs="仿宋"/>
          <w:b/>
          <w:bCs/>
          <w:spacing w:val="-2"/>
          <w:sz w:val="28"/>
          <w:szCs w:val="28"/>
        </w:rPr>
        <w:t>第一百四十五条</w:t>
      </w:r>
      <w:r>
        <w:rPr>
          <w:rFonts w:ascii="仿宋" w:hAnsi="仿宋" w:eastAsia="仿宋" w:cs="仿宋"/>
          <w:spacing w:val="-2"/>
          <w:sz w:val="28"/>
          <w:szCs w:val="28"/>
        </w:rPr>
        <w:t xml:space="preserve"> 基金会信息公开应严格履行如下程序：</w:t>
      </w:r>
    </w:p>
    <w:p w14:paraId="7CE84DB2">
      <w:pPr>
        <w:spacing w:before="222" w:line="320" w:lineRule="auto"/>
        <w:ind w:left="33" w:right="93" w:firstLine="558"/>
        <w:rPr>
          <w:rFonts w:ascii="仿宋" w:hAnsi="仿宋" w:eastAsia="仿宋" w:cs="仿宋"/>
          <w:sz w:val="28"/>
          <w:szCs w:val="28"/>
        </w:rPr>
      </w:pPr>
      <w:r>
        <w:rPr>
          <w:rFonts w:ascii="仿宋" w:hAnsi="仿宋" w:eastAsia="仿宋" w:cs="仿宋"/>
          <w:spacing w:val="-4"/>
          <w:sz w:val="28"/>
          <w:szCs w:val="28"/>
        </w:rPr>
        <w:t>（一）秘书处需按照《青海省青海湖生态保护基金会信息公开管</w:t>
      </w:r>
      <w:r>
        <w:rPr>
          <w:rFonts w:ascii="仿宋" w:hAnsi="仿宋" w:eastAsia="仿宋" w:cs="仿宋"/>
          <w:sz w:val="28"/>
          <w:szCs w:val="28"/>
        </w:rPr>
        <w:t xml:space="preserve"> </w:t>
      </w:r>
      <w:r>
        <w:rPr>
          <w:rFonts w:ascii="仿宋" w:hAnsi="仿宋" w:eastAsia="仿宋" w:cs="仿宋"/>
          <w:spacing w:val="-8"/>
          <w:sz w:val="28"/>
          <w:szCs w:val="28"/>
        </w:rPr>
        <w:t>理制度》之规定，对相关内容进行信息公开。同时负责</w:t>
      </w:r>
      <w:r>
        <w:rPr>
          <w:rFonts w:ascii="仿宋" w:hAnsi="仿宋" w:eastAsia="仿宋" w:cs="仿宋"/>
          <w:spacing w:val="-9"/>
          <w:sz w:val="28"/>
          <w:szCs w:val="28"/>
        </w:rPr>
        <w:t>公开内容的 编</w:t>
      </w:r>
      <w:r>
        <w:rPr>
          <w:rFonts w:ascii="仿宋" w:hAnsi="仿宋" w:eastAsia="仿宋" w:cs="仿宋"/>
          <w:sz w:val="28"/>
          <w:szCs w:val="28"/>
        </w:rPr>
        <w:t xml:space="preserve"> </w:t>
      </w:r>
      <w:r>
        <w:rPr>
          <w:rFonts w:ascii="仿宋" w:hAnsi="仿宋" w:eastAsia="仿宋" w:cs="仿宋"/>
          <w:spacing w:val="-1"/>
          <w:sz w:val="28"/>
          <w:szCs w:val="28"/>
        </w:rPr>
        <w:t>制、整理、确认、公布，并对已公开的内容归档保存；</w:t>
      </w:r>
    </w:p>
    <w:p w14:paraId="673E445A">
      <w:pPr>
        <w:spacing w:before="225" w:line="295" w:lineRule="auto"/>
        <w:ind w:left="32" w:right="93" w:firstLine="559"/>
        <w:rPr>
          <w:rFonts w:ascii="仿宋" w:hAnsi="仿宋" w:eastAsia="仿宋" w:cs="仿宋"/>
          <w:sz w:val="28"/>
          <w:szCs w:val="28"/>
        </w:rPr>
      </w:pPr>
      <w:r>
        <w:rPr>
          <w:rFonts w:ascii="仿宋" w:hAnsi="仿宋" w:eastAsia="仿宋" w:cs="仿宋"/>
          <w:spacing w:val="-1"/>
          <w:sz w:val="28"/>
          <w:szCs w:val="28"/>
        </w:rPr>
        <w:t>（二）法律法规规定的重大事件的信息公开，</w:t>
      </w:r>
      <w:r>
        <w:rPr>
          <w:rFonts w:ascii="仿宋" w:hAnsi="仿宋" w:eastAsia="仿宋" w:cs="仿宋"/>
          <w:spacing w:val="-82"/>
          <w:sz w:val="28"/>
          <w:szCs w:val="28"/>
        </w:rPr>
        <w:t xml:space="preserve"> </w:t>
      </w:r>
      <w:r>
        <w:rPr>
          <w:rFonts w:ascii="仿宋" w:hAnsi="仿宋" w:eastAsia="仿宋" w:cs="仿宋"/>
          <w:spacing w:val="-1"/>
          <w:sz w:val="28"/>
          <w:szCs w:val="28"/>
        </w:rPr>
        <w:t>由 青海湖</w:t>
      </w:r>
      <w:r>
        <w:rPr>
          <w:rFonts w:ascii="仿宋" w:hAnsi="仿宋" w:eastAsia="仿宋" w:cs="仿宋"/>
          <w:spacing w:val="-2"/>
          <w:sz w:val="28"/>
          <w:szCs w:val="28"/>
        </w:rPr>
        <w:t>基金会</w:t>
      </w:r>
      <w:r>
        <w:rPr>
          <w:rFonts w:ascii="仿宋" w:hAnsi="仿宋" w:eastAsia="仿宋" w:cs="仿宋"/>
          <w:sz w:val="28"/>
          <w:szCs w:val="28"/>
        </w:rPr>
        <w:t xml:space="preserve"> </w:t>
      </w:r>
      <w:r>
        <w:rPr>
          <w:rFonts w:ascii="仿宋" w:hAnsi="仿宋" w:eastAsia="仿宋" w:cs="仿宋"/>
          <w:spacing w:val="-2"/>
          <w:sz w:val="28"/>
          <w:szCs w:val="28"/>
        </w:rPr>
        <w:t>秘 书长作为新闻发言人进行公开；</w:t>
      </w:r>
    </w:p>
    <w:p w14:paraId="232B1DBC">
      <w:pPr>
        <w:spacing w:before="226" w:line="223" w:lineRule="auto"/>
        <w:ind w:left="592"/>
        <w:rPr>
          <w:rFonts w:ascii="仿宋" w:hAnsi="仿宋" w:eastAsia="仿宋" w:cs="仿宋"/>
          <w:sz w:val="28"/>
          <w:szCs w:val="28"/>
        </w:rPr>
      </w:pPr>
      <w:r>
        <w:rPr>
          <w:rFonts w:ascii="仿宋" w:hAnsi="仿宋" w:eastAsia="仿宋" w:cs="仿宋"/>
          <w:spacing w:val="-2"/>
          <w:sz w:val="28"/>
          <w:szCs w:val="28"/>
        </w:rPr>
        <w:t>（三）未经秘书长批准不得擅自公开。</w:t>
      </w:r>
    </w:p>
    <w:p w14:paraId="52A4D234">
      <w:pPr>
        <w:spacing w:before="221" w:line="353" w:lineRule="auto"/>
        <w:ind w:left="49" w:right="93" w:firstLine="554"/>
        <w:rPr>
          <w:rFonts w:ascii="仿宋" w:hAnsi="仿宋" w:eastAsia="仿宋" w:cs="仿宋"/>
          <w:sz w:val="28"/>
          <w:szCs w:val="28"/>
        </w:rPr>
      </w:pPr>
      <w:r>
        <w:rPr>
          <w:rFonts w:ascii="仿宋" w:hAnsi="仿宋" w:eastAsia="仿宋" w:cs="仿宋"/>
          <w:b/>
          <w:bCs/>
          <w:sz w:val="28"/>
          <w:szCs w:val="28"/>
        </w:rPr>
        <w:t>第一百四十六条</w:t>
      </w:r>
      <w:r>
        <w:rPr>
          <w:rFonts w:ascii="仿宋" w:hAnsi="仿宋" w:eastAsia="仿宋" w:cs="仿宋"/>
          <w:sz w:val="28"/>
          <w:szCs w:val="28"/>
        </w:rPr>
        <w:t xml:space="preserve"> 基金会基本信息发生变更后，应当</w:t>
      </w:r>
      <w:r>
        <w:rPr>
          <w:rFonts w:ascii="仿宋" w:hAnsi="仿宋" w:eastAsia="仿宋" w:cs="仿宋"/>
          <w:spacing w:val="-1"/>
          <w:sz w:val="28"/>
          <w:szCs w:val="28"/>
        </w:rPr>
        <w:t>及时在统一</w:t>
      </w:r>
      <w:r>
        <w:rPr>
          <w:rFonts w:ascii="仿宋" w:hAnsi="仿宋" w:eastAsia="仿宋" w:cs="仿宋"/>
          <w:sz w:val="28"/>
          <w:szCs w:val="28"/>
        </w:rPr>
        <w:t xml:space="preserve"> </w:t>
      </w:r>
      <w:r>
        <w:rPr>
          <w:rFonts w:ascii="仿宋" w:hAnsi="仿宋" w:eastAsia="仿宋" w:cs="仿宋"/>
          <w:spacing w:val="-3"/>
          <w:sz w:val="28"/>
          <w:szCs w:val="28"/>
        </w:rPr>
        <w:t>的信息平台向社会公布、及时更新。</w:t>
      </w:r>
    </w:p>
    <w:p w14:paraId="2CBEC8E1">
      <w:pPr>
        <w:spacing w:before="47" w:line="353" w:lineRule="auto"/>
        <w:ind w:left="33" w:right="93" w:firstLine="570"/>
        <w:rPr>
          <w:rFonts w:ascii="仿宋" w:hAnsi="仿宋" w:eastAsia="仿宋" w:cs="仿宋"/>
          <w:sz w:val="28"/>
          <w:szCs w:val="28"/>
        </w:rPr>
      </w:pPr>
      <w:r>
        <w:rPr>
          <w:rFonts w:ascii="仿宋" w:hAnsi="仿宋" w:eastAsia="仿宋" w:cs="仿宋"/>
          <w:b/>
          <w:bCs/>
          <w:sz w:val="28"/>
          <w:szCs w:val="28"/>
        </w:rPr>
        <w:t>第一百四十七条</w:t>
      </w:r>
      <w:r>
        <w:rPr>
          <w:rFonts w:ascii="仿宋" w:hAnsi="仿宋" w:eastAsia="仿宋" w:cs="仿宋"/>
          <w:sz w:val="28"/>
          <w:szCs w:val="28"/>
        </w:rPr>
        <w:t xml:space="preserve"> 基金会在信息公开工作中自觉接受</w:t>
      </w:r>
      <w:r>
        <w:rPr>
          <w:rFonts w:ascii="仿宋" w:hAnsi="仿宋" w:eastAsia="仿宋" w:cs="仿宋"/>
          <w:spacing w:val="-1"/>
          <w:sz w:val="28"/>
          <w:szCs w:val="28"/>
        </w:rPr>
        <w:t>公众及社会</w:t>
      </w:r>
      <w:r>
        <w:rPr>
          <w:rFonts w:ascii="仿宋" w:hAnsi="仿宋" w:eastAsia="仿宋" w:cs="仿宋"/>
          <w:sz w:val="28"/>
          <w:szCs w:val="28"/>
        </w:rPr>
        <w:t xml:space="preserve"> </w:t>
      </w:r>
      <w:r>
        <w:rPr>
          <w:rFonts w:ascii="仿宋" w:hAnsi="仿宋" w:eastAsia="仿宋" w:cs="仿宋"/>
          <w:spacing w:val="-1"/>
          <w:sz w:val="28"/>
          <w:szCs w:val="28"/>
        </w:rPr>
        <w:t>各 界的监督，对发现和存在的问题应当认真研究，积极整改。</w:t>
      </w:r>
    </w:p>
    <w:p w14:paraId="28618B34">
      <w:pPr>
        <w:spacing w:before="50" w:line="222" w:lineRule="auto"/>
        <w:ind w:left="2427"/>
        <w:rPr>
          <w:rFonts w:ascii="黑体" w:hAnsi="黑体" w:eastAsia="黑体" w:cs="黑体"/>
          <w:sz w:val="28"/>
          <w:szCs w:val="28"/>
        </w:rPr>
      </w:pPr>
      <w:r>
        <w:rPr>
          <w:rFonts w:ascii="黑体" w:hAnsi="黑体" w:eastAsia="黑体" w:cs="黑体"/>
          <w:spacing w:val="-1"/>
          <w:sz w:val="28"/>
          <w:szCs w:val="28"/>
        </w:rPr>
        <w:t>第六章 信息公开的相关责任</w:t>
      </w:r>
    </w:p>
    <w:p w14:paraId="525D2940">
      <w:pPr>
        <w:spacing w:before="222" w:line="359" w:lineRule="auto"/>
        <w:ind w:left="34" w:right="93" w:firstLine="569"/>
        <w:jc w:val="both"/>
        <w:rPr>
          <w:rFonts w:ascii="仿宋" w:hAnsi="仿宋" w:eastAsia="仿宋" w:cs="仿宋"/>
          <w:sz w:val="28"/>
          <w:szCs w:val="28"/>
        </w:rPr>
      </w:pPr>
      <w:r>
        <w:rPr>
          <w:rFonts w:ascii="仿宋" w:hAnsi="仿宋" w:eastAsia="仿宋" w:cs="仿宋"/>
          <w:b/>
          <w:bCs/>
          <w:sz w:val="28"/>
          <w:szCs w:val="28"/>
        </w:rPr>
        <w:t>第一百四十八条</w:t>
      </w:r>
      <w:r>
        <w:rPr>
          <w:rFonts w:ascii="仿宋" w:hAnsi="仿宋" w:eastAsia="仿宋" w:cs="仿宋"/>
          <w:sz w:val="28"/>
          <w:szCs w:val="28"/>
        </w:rPr>
        <w:t xml:space="preserve"> 秘书处参与信息公开工作的工作人</w:t>
      </w:r>
      <w:r>
        <w:rPr>
          <w:rFonts w:ascii="仿宋" w:hAnsi="仿宋" w:eastAsia="仿宋" w:cs="仿宋"/>
          <w:spacing w:val="-1"/>
          <w:sz w:val="28"/>
          <w:szCs w:val="28"/>
        </w:rPr>
        <w:t>员应确保信</w:t>
      </w:r>
      <w:r>
        <w:rPr>
          <w:rFonts w:ascii="仿宋" w:hAnsi="仿宋" w:eastAsia="仿宋" w:cs="仿宋"/>
          <w:sz w:val="28"/>
          <w:szCs w:val="28"/>
        </w:rPr>
        <w:t xml:space="preserve"> </w:t>
      </w:r>
      <w:r>
        <w:rPr>
          <w:rFonts w:ascii="仿宋" w:hAnsi="仿宋" w:eastAsia="仿宋" w:cs="仿宋"/>
          <w:spacing w:val="1"/>
          <w:sz w:val="28"/>
          <w:szCs w:val="28"/>
        </w:rPr>
        <w:t>息公 开内容的真实性、准确性、完整性，并及时对本</w:t>
      </w:r>
      <w:r>
        <w:rPr>
          <w:rFonts w:ascii="仿宋" w:hAnsi="仿宋" w:eastAsia="仿宋" w:cs="仿宋"/>
          <w:sz w:val="28"/>
          <w:szCs w:val="28"/>
        </w:rPr>
        <w:t xml:space="preserve">办法的执行进 </w:t>
      </w:r>
      <w:r>
        <w:rPr>
          <w:rFonts w:ascii="仿宋" w:hAnsi="仿宋" w:eastAsia="仿宋" w:cs="仿宋"/>
          <w:spacing w:val="-7"/>
          <w:sz w:val="28"/>
          <w:szCs w:val="28"/>
        </w:rPr>
        <w:t>行</w:t>
      </w:r>
      <w:r>
        <w:rPr>
          <w:rFonts w:ascii="仿宋" w:hAnsi="仿宋" w:eastAsia="仿宋" w:cs="仿宋"/>
          <w:spacing w:val="76"/>
          <w:sz w:val="28"/>
          <w:szCs w:val="28"/>
        </w:rPr>
        <w:t xml:space="preserve"> </w:t>
      </w:r>
      <w:r>
        <w:rPr>
          <w:rFonts w:ascii="仿宋" w:hAnsi="仿宋" w:eastAsia="仿宋" w:cs="仿宋"/>
          <w:spacing w:val="-7"/>
          <w:sz w:val="28"/>
          <w:szCs w:val="28"/>
        </w:rPr>
        <w:t>自查，发现问题应及时改正。</w:t>
      </w:r>
    </w:p>
    <w:p w14:paraId="5AC9E5BB">
      <w:pPr>
        <w:spacing w:before="48" w:line="353" w:lineRule="auto"/>
        <w:ind w:left="32" w:right="93" w:firstLine="571"/>
        <w:rPr>
          <w:rFonts w:ascii="仿宋" w:hAnsi="仿宋" w:eastAsia="仿宋" w:cs="仿宋"/>
          <w:sz w:val="28"/>
          <w:szCs w:val="28"/>
        </w:rPr>
      </w:pPr>
      <w:r>
        <w:rPr>
          <w:rFonts w:ascii="仿宋" w:hAnsi="仿宋" w:eastAsia="仿宋" w:cs="仿宋"/>
          <w:b/>
          <w:bCs/>
          <w:sz w:val="28"/>
          <w:szCs w:val="28"/>
        </w:rPr>
        <w:t>第一百四十九条</w:t>
      </w:r>
      <w:r>
        <w:rPr>
          <w:rFonts w:ascii="仿宋" w:hAnsi="仿宋" w:eastAsia="仿宋" w:cs="仿宋"/>
          <w:sz w:val="28"/>
          <w:szCs w:val="28"/>
        </w:rPr>
        <w:t xml:space="preserve"> 理事会及秘书处全体人员在本办法</w:t>
      </w:r>
      <w:r>
        <w:rPr>
          <w:rFonts w:ascii="仿宋" w:hAnsi="仿宋" w:eastAsia="仿宋" w:cs="仿宋"/>
          <w:spacing w:val="-1"/>
          <w:sz w:val="28"/>
          <w:szCs w:val="28"/>
        </w:rPr>
        <w:t>第三章所列</w:t>
      </w:r>
      <w:r>
        <w:rPr>
          <w:rFonts w:ascii="仿宋" w:hAnsi="仿宋" w:eastAsia="仿宋" w:cs="仿宋"/>
          <w:sz w:val="28"/>
          <w:szCs w:val="28"/>
        </w:rPr>
        <w:t xml:space="preserve"> </w:t>
      </w:r>
      <w:r>
        <w:rPr>
          <w:rFonts w:ascii="仿宋" w:hAnsi="仿宋" w:eastAsia="仿宋" w:cs="仿宋"/>
          <w:spacing w:val="-1"/>
          <w:sz w:val="28"/>
          <w:szCs w:val="28"/>
        </w:rPr>
        <w:t>信息 公开内容没有公布前，对其知晓的信息负有保密责任。</w:t>
      </w:r>
    </w:p>
    <w:p w14:paraId="77713283">
      <w:pPr>
        <w:spacing w:line="353" w:lineRule="auto"/>
        <w:rPr>
          <w:rFonts w:ascii="仿宋" w:hAnsi="仿宋" w:eastAsia="仿宋" w:cs="仿宋"/>
          <w:sz w:val="28"/>
          <w:szCs w:val="28"/>
        </w:rPr>
        <w:sectPr>
          <w:pgSz w:w="11906" w:h="16839"/>
          <w:pgMar w:top="400" w:right="1705" w:bottom="400" w:left="1785" w:header="0" w:footer="850" w:gutter="0"/>
          <w:pgNumType w:fmt="decimal"/>
          <w:cols w:space="720" w:num="1"/>
        </w:sectPr>
      </w:pPr>
    </w:p>
    <w:p w14:paraId="73E8FADE">
      <w:pPr>
        <w:spacing w:line="258" w:lineRule="auto"/>
        <w:rPr>
          <w:rFonts w:ascii="Arial"/>
          <w:sz w:val="21"/>
        </w:rPr>
      </w:pPr>
    </w:p>
    <w:p w14:paraId="52D6774E">
      <w:pPr>
        <w:spacing w:line="258" w:lineRule="auto"/>
        <w:rPr>
          <w:rFonts w:ascii="Arial"/>
          <w:sz w:val="21"/>
        </w:rPr>
      </w:pPr>
    </w:p>
    <w:p w14:paraId="3055FBE4">
      <w:pPr>
        <w:spacing w:line="258" w:lineRule="auto"/>
        <w:rPr>
          <w:rFonts w:ascii="Arial"/>
          <w:sz w:val="21"/>
        </w:rPr>
      </w:pPr>
    </w:p>
    <w:p w14:paraId="26EB4551">
      <w:pPr>
        <w:spacing w:line="259" w:lineRule="auto"/>
        <w:rPr>
          <w:rFonts w:ascii="Arial"/>
          <w:sz w:val="21"/>
        </w:rPr>
      </w:pPr>
    </w:p>
    <w:p w14:paraId="48938FF0">
      <w:pPr>
        <w:spacing w:before="120" w:line="221" w:lineRule="auto"/>
        <w:ind w:left="955"/>
        <w:rPr>
          <w:rFonts w:ascii="方正舒体" w:hAnsi="方正舒体" w:eastAsia="方正舒体" w:cs="方正舒体"/>
          <w:sz w:val="35"/>
          <w:szCs w:val="35"/>
        </w:rPr>
      </w:pPr>
      <w:bookmarkStart w:id="21" w:name="bookmark25"/>
      <w:bookmarkEnd w:id="21"/>
      <w:r>
        <w:rPr>
          <w:rFonts w:ascii="方正舒体" w:hAnsi="方正舒体" w:eastAsia="方正舒体" w:cs="方正舒体"/>
          <w:spacing w:val="8"/>
          <w:sz w:val="35"/>
          <w:szCs w:val="35"/>
        </w:rPr>
        <w:t>青海湖生态保护基金会印章使用管理制度</w:t>
      </w:r>
    </w:p>
    <w:p w14:paraId="7697E499">
      <w:pPr>
        <w:spacing w:before="205" w:line="362" w:lineRule="auto"/>
        <w:ind w:left="32" w:right="80" w:firstLine="571"/>
        <w:rPr>
          <w:rFonts w:ascii="仿宋" w:hAnsi="仿宋" w:eastAsia="仿宋" w:cs="仿宋"/>
          <w:sz w:val="28"/>
          <w:szCs w:val="28"/>
        </w:rPr>
      </w:pPr>
      <w:r>
        <w:rPr>
          <w:rFonts w:ascii="仿宋" w:hAnsi="仿宋" w:eastAsia="仿宋" w:cs="仿宋"/>
          <w:b/>
          <w:bCs/>
          <w:sz w:val="28"/>
          <w:szCs w:val="28"/>
        </w:rPr>
        <w:t>第一百五十条</w:t>
      </w:r>
      <w:r>
        <w:rPr>
          <w:rFonts w:ascii="仿宋" w:hAnsi="仿宋" w:eastAsia="仿宋" w:cs="仿宋"/>
          <w:sz w:val="28"/>
          <w:szCs w:val="28"/>
        </w:rPr>
        <w:t xml:space="preserve"> 基金会印章是基金会经营管理活动中行使职</w:t>
      </w:r>
      <w:r>
        <w:rPr>
          <w:rFonts w:ascii="仿宋" w:hAnsi="仿宋" w:eastAsia="仿宋" w:cs="仿宋"/>
          <w:spacing w:val="-1"/>
          <w:sz w:val="28"/>
          <w:szCs w:val="28"/>
        </w:rPr>
        <w:t>权，</w:t>
      </w:r>
      <w:r>
        <w:rPr>
          <w:rFonts w:ascii="仿宋" w:hAnsi="仿宋" w:eastAsia="仿宋" w:cs="仿宋"/>
          <w:sz w:val="28"/>
          <w:szCs w:val="28"/>
        </w:rPr>
        <w:t xml:space="preserve"> </w:t>
      </w:r>
      <w:r>
        <w:rPr>
          <w:rFonts w:ascii="仿宋" w:hAnsi="仿宋" w:eastAsia="仿宋" w:cs="仿宋"/>
          <w:spacing w:val="-4"/>
          <w:sz w:val="28"/>
          <w:szCs w:val="28"/>
        </w:rPr>
        <w:t>明确基金会各种权利义务关系的重要凭证和工具，印章的管理应做到</w:t>
      </w:r>
      <w:r>
        <w:rPr>
          <w:rFonts w:ascii="仿宋" w:hAnsi="仿宋" w:eastAsia="仿宋" w:cs="仿宋"/>
          <w:spacing w:val="7"/>
          <w:sz w:val="28"/>
          <w:szCs w:val="28"/>
        </w:rPr>
        <w:t xml:space="preserve"> </w:t>
      </w:r>
      <w:r>
        <w:rPr>
          <w:rFonts w:ascii="仿宋" w:hAnsi="仿宋" w:eastAsia="仿宋" w:cs="仿宋"/>
          <w:spacing w:val="-4"/>
          <w:sz w:val="28"/>
          <w:szCs w:val="28"/>
        </w:rPr>
        <w:t>分散管理、相互制约，为明确使用人与管理人员的责权，特制定如下</w:t>
      </w:r>
      <w:r>
        <w:rPr>
          <w:rFonts w:ascii="仿宋" w:hAnsi="仿宋" w:eastAsia="仿宋" w:cs="仿宋"/>
          <w:spacing w:val="7"/>
          <w:sz w:val="28"/>
          <w:szCs w:val="28"/>
        </w:rPr>
        <w:t xml:space="preserve"> </w:t>
      </w:r>
      <w:r>
        <w:rPr>
          <w:rFonts w:ascii="仿宋" w:hAnsi="仿宋" w:eastAsia="仿宋" w:cs="仿宋"/>
          <w:spacing w:val="-2"/>
          <w:sz w:val="28"/>
          <w:szCs w:val="28"/>
        </w:rPr>
        <w:t>基金会印章使用与管理条例。</w:t>
      </w:r>
    </w:p>
    <w:p w14:paraId="5D4C1808">
      <w:pPr>
        <w:spacing w:before="46" w:line="355" w:lineRule="auto"/>
        <w:ind w:left="34" w:right="80" w:firstLine="569"/>
        <w:rPr>
          <w:rFonts w:ascii="仿宋" w:hAnsi="仿宋" w:eastAsia="仿宋" w:cs="仿宋"/>
          <w:sz w:val="28"/>
          <w:szCs w:val="28"/>
        </w:rPr>
      </w:pPr>
      <w:r>
        <w:rPr>
          <w:rFonts w:ascii="仿宋" w:hAnsi="仿宋" w:eastAsia="仿宋" w:cs="仿宋"/>
          <w:b/>
          <w:bCs/>
          <w:sz w:val="28"/>
          <w:szCs w:val="28"/>
        </w:rPr>
        <w:t>第一百五十一条</w:t>
      </w:r>
      <w:r>
        <w:rPr>
          <w:rFonts w:ascii="仿宋" w:hAnsi="仿宋" w:eastAsia="仿宋" w:cs="仿宋"/>
          <w:sz w:val="28"/>
          <w:szCs w:val="28"/>
        </w:rPr>
        <w:t xml:space="preserve"> 基金会印章包括：公章、法人私章</w:t>
      </w:r>
      <w:r>
        <w:rPr>
          <w:rFonts w:ascii="仿宋" w:hAnsi="仿宋" w:eastAsia="仿宋" w:cs="仿宋"/>
          <w:spacing w:val="-1"/>
          <w:sz w:val="28"/>
          <w:szCs w:val="28"/>
        </w:rPr>
        <w:t>、财务专用</w:t>
      </w:r>
      <w:r>
        <w:rPr>
          <w:rFonts w:ascii="仿宋" w:hAnsi="仿宋" w:eastAsia="仿宋" w:cs="仿宋"/>
          <w:sz w:val="28"/>
          <w:szCs w:val="28"/>
        </w:rPr>
        <w:t xml:space="preserve"> </w:t>
      </w:r>
      <w:r>
        <w:rPr>
          <w:rFonts w:ascii="仿宋" w:hAnsi="仿宋" w:eastAsia="仿宋" w:cs="仿宋"/>
          <w:spacing w:val="-3"/>
          <w:sz w:val="28"/>
          <w:szCs w:val="28"/>
        </w:rPr>
        <w:t>章、发票专用章。</w:t>
      </w:r>
    </w:p>
    <w:p w14:paraId="7F6E21BE">
      <w:pPr>
        <w:spacing w:before="42" w:line="221" w:lineRule="auto"/>
        <w:ind w:left="603"/>
        <w:rPr>
          <w:rFonts w:ascii="仿宋" w:hAnsi="仿宋" w:eastAsia="仿宋" w:cs="仿宋"/>
          <w:sz w:val="28"/>
          <w:szCs w:val="28"/>
        </w:rPr>
      </w:pPr>
      <w:r>
        <w:rPr>
          <w:rFonts w:ascii="仿宋" w:hAnsi="仿宋" w:eastAsia="仿宋" w:cs="仿宋"/>
          <w:b/>
          <w:bCs/>
          <w:spacing w:val="-9"/>
          <w:sz w:val="28"/>
          <w:szCs w:val="28"/>
        </w:rPr>
        <w:t>第一百五十二条</w:t>
      </w:r>
      <w:r>
        <w:rPr>
          <w:rFonts w:ascii="仿宋" w:hAnsi="仿宋" w:eastAsia="仿宋" w:cs="仿宋"/>
          <w:spacing w:val="34"/>
          <w:sz w:val="28"/>
          <w:szCs w:val="28"/>
        </w:rPr>
        <w:t xml:space="preserve"> </w:t>
      </w:r>
      <w:r>
        <w:rPr>
          <w:rFonts w:ascii="仿宋" w:hAnsi="仿宋" w:eastAsia="仿宋" w:cs="仿宋"/>
          <w:b/>
          <w:bCs/>
          <w:spacing w:val="-9"/>
          <w:sz w:val="28"/>
          <w:szCs w:val="28"/>
        </w:rPr>
        <w:t>刻印</w:t>
      </w:r>
    </w:p>
    <w:p w14:paraId="1316D459">
      <w:pPr>
        <w:spacing w:before="223" w:line="359" w:lineRule="auto"/>
        <w:ind w:left="34" w:right="45" w:firstLine="556"/>
        <w:jc w:val="both"/>
        <w:rPr>
          <w:rFonts w:ascii="仿宋" w:hAnsi="仿宋" w:eastAsia="仿宋" w:cs="仿宋"/>
          <w:sz w:val="28"/>
          <w:szCs w:val="28"/>
        </w:rPr>
      </w:pPr>
      <w:r>
        <w:rPr>
          <w:rFonts w:ascii="仿宋" w:hAnsi="仿宋" w:eastAsia="仿宋" w:cs="仿宋"/>
          <w:spacing w:val="-4"/>
          <w:sz w:val="28"/>
          <w:szCs w:val="28"/>
        </w:rPr>
        <w:t>新基金会成立，基本印章（公章、法人私章、财务章、发票发用</w:t>
      </w:r>
      <w:r>
        <w:rPr>
          <w:rFonts w:ascii="仿宋" w:hAnsi="仿宋" w:eastAsia="仿宋" w:cs="仿宋"/>
          <w:sz w:val="28"/>
          <w:szCs w:val="28"/>
        </w:rPr>
        <w:t xml:space="preserve"> </w:t>
      </w:r>
      <w:r>
        <w:rPr>
          <w:rFonts w:ascii="仿宋" w:hAnsi="仿宋" w:eastAsia="仿宋" w:cs="仿宋"/>
          <w:spacing w:val="-3"/>
          <w:sz w:val="28"/>
          <w:szCs w:val="28"/>
        </w:rPr>
        <w:t>章）的刻制，应由指定的印章管理人员负责刻制，交由行政部备案，</w:t>
      </w:r>
      <w:r>
        <w:rPr>
          <w:rFonts w:ascii="仿宋" w:hAnsi="仿宋" w:eastAsia="仿宋" w:cs="仿宋"/>
          <w:spacing w:val="9"/>
          <w:sz w:val="28"/>
          <w:szCs w:val="28"/>
        </w:rPr>
        <w:t xml:space="preserve"> </w:t>
      </w:r>
      <w:r>
        <w:rPr>
          <w:rFonts w:ascii="仿宋" w:hAnsi="仿宋" w:eastAsia="仿宋" w:cs="仿宋"/>
          <w:spacing w:val="-2"/>
          <w:sz w:val="28"/>
          <w:szCs w:val="28"/>
        </w:rPr>
        <w:t>并从刻制之日起执行相关使用条例。</w:t>
      </w:r>
    </w:p>
    <w:p w14:paraId="6FB967F7">
      <w:pPr>
        <w:spacing w:before="47" w:line="221" w:lineRule="auto"/>
        <w:ind w:left="603"/>
        <w:rPr>
          <w:rFonts w:ascii="仿宋" w:hAnsi="仿宋" w:eastAsia="仿宋" w:cs="仿宋"/>
          <w:sz w:val="28"/>
          <w:szCs w:val="28"/>
        </w:rPr>
      </w:pPr>
      <w:r>
        <w:rPr>
          <w:rFonts w:ascii="仿宋" w:hAnsi="仿宋" w:eastAsia="仿宋" w:cs="仿宋"/>
          <w:b/>
          <w:bCs/>
          <w:spacing w:val="-8"/>
          <w:sz w:val="28"/>
          <w:szCs w:val="28"/>
        </w:rPr>
        <w:t>第一百五十三条</w:t>
      </w:r>
      <w:r>
        <w:rPr>
          <w:rFonts w:ascii="仿宋" w:hAnsi="仿宋" w:eastAsia="仿宋" w:cs="仿宋"/>
          <w:spacing w:val="42"/>
          <w:sz w:val="28"/>
          <w:szCs w:val="28"/>
        </w:rPr>
        <w:t xml:space="preserve"> </w:t>
      </w:r>
      <w:r>
        <w:rPr>
          <w:rFonts w:ascii="仿宋" w:hAnsi="仿宋" w:eastAsia="仿宋" w:cs="仿宋"/>
          <w:b/>
          <w:bCs/>
          <w:spacing w:val="-8"/>
          <w:sz w:val="28"/>
          <w:szCs w:val="28"/>
        </w:rPr>
        <w:t>印章的使用</w:t>
      </w:r>
    </w:p>
    <w:p w14:paraId="268D065D">
      <w:pPr>
        <w:spacing w:before="227" w:line="358" w:lineRule="auto"/>
        <w:ind w:left="33" w:firstLine="570"/>
        <w:jc w:val="both"/>
        <w:rPr>
          <w:rFonts w:ascii="仿宋" w:hAnsi="仿宋" w:eastAsia="仿宋" w:cs="仿宋"/>
          <w:sz w:val="28"/>
          <w:szCs w:val="28"/>
        </w:rPr>
      </w:pPr>
      <w:r>
        <w:rPr>
          <w:rFonts w:ascii="仿宋" w:hAnsi="仿宋" w:eastAsia="仿宋" w:cs="仿宋"/>
          <w:spacing w:val="-11"/>
          <w:sz w:val="28"/>
          <w:szCs w:val="28"/>
        </w:rPr>
        <w:t>1.公章由行政部或专人保管。各部门需要盖公章的文件、通知等，</w:t>
      </w:r>
      <w:r>
        <w:rPr>
          <w:rFonts w:ascii="仿宋" w:hAnsi="仿宋" w:eastAsia="仿宋" w:cs="仿宋"/>
          <w:spacing w:val="6"/>
          <w:sz w:val="28"/>
          <w:szCs w:val="28"/>
        </w:rPr>
        <w:t xml:space="preserve"> </w:t>
      </w:r>
      <w:r>
        <w:rPr>
          <w:rFonts w:ascii="仿宋" w:hAnsi="仿宋" w:eastAsia="仿宋" w:cs="仿宋"/>
          <w:spacing w:val="-13"/>
          <w:sz w:val="28"/>
          <w:szCs w:val="28"/>
        </w:rPr>
        <w:t>须到行政部填写《印章使用申请表》，由基金会负责人核准，并在《印</w:t>
      </w:r>
      <w:r>
        <w:rPr>
          <w:rFonts w:ascii="仿宋" w:hAnsi="仿宋" w:eastAsia="仿宋" w:cs="仿宋"/>
          <w:spacing w:val="8"/>
          <w:sz w:val="28"/>
          <w:szCs w:val="28"/>
        </w:rPr>
        <w:t xml:space="preserve"> </w:t>
      </w:r>
      <w:r>
        <w:rPr>
          <w:rFonts w:ascii="仿宋" w:hAnsi="仿宋" w:eastAsia="仿宋" w:cs="仿宋"/>
          <w:spacing w:val="-2"/>
          <w:sz w:val="28"/>
          <w:szCs w:val="28"/>
        </w:rPr>
        <w:t>章使用申请表》中签字；</w:t>
      </w:r>
    </w:p>
    <w:p w14:paraId="41E7482B">
      <w:pPr>
        <w:spacing w:before="50" w:line="353" w:lineRule="auto"/>
        <w:ind w:left="31" w:right="24" w:firstLine="554"/>
        <w:rPr>
          <w:rFonts w:ascii="仿宋" w:hAnsi="仿宋" w:eastAsia="仿宋" w:cs="仿宋"/>
          <w:sz w:val="28"/>
          <w:szCs w:val="28"/>
        </w:rPr>
      </w:pPr>
      <w:r>
        <w:rPr>
          <w:rFonts w:ascii="仿宋" w:hAnsi="仿宋" w:eastAsia="仿宋" w:cs="仿宋"/>
          <w:spacing w:val="-2"/>
          <w:sz w:val="28"/>
          <w:szCs w:val="28"/>
        </w:rPr>
        <w:t>2.法人私章：法人私章由基金会出纳保管，主要用于银行汇票、</w:t>
      </w:r>
      <w:r>
        <w:rPr>
          <w:rFonts w:ascii="仿宋" w:hAnsi="仿宋" w:eastAsia="仿宋" w:cs="仿宋"/>
          <w:spacing w:val="6"/>
          <w:sz w:val="28"/>
          <w:szCs w:val="28"/>
        </w:rPr>
        <w:t xml:space="preserve"> </w:t>
      </w:r>
      <w:r>
        <w:rPr>
          <w:rFonts w:ascii="仿宋" w:hAnsi="仿宋" w:eastAsia="仿宋" w:cs="仿宋"/>
          <w:spacing w:val="-2"/>
          <w:sz w:val="28"/>
          <w:szCs w:val="28"/>
        </w:rPr>
        <w:t>现金支票等业务，使用时凭审批的支付申请或取汇款凭证方可盖章。</w:t>
      </w:r>
    </w:p>
    <w:p w14:paraId="1408F66F">
      <w:pPr>
        <w:spacing w:before="49" w:line="359" w:lineRule="auto"/>
        <w:ind w:left="31" w:right="80" w:firstLine="556"/>
        <w:rPr>
          <w:rFonts w:ascii="仿宋" w:hAnsi="仿宋" w:eastAsia="仿宋" w:cs="仿宋"/>
          <w:sz w:val="28"/>
          <w:szCs w:val="28"/>
        </w:rPr>
      </w:pPr>
      <w:r>
        <w:rPr>
          <w:rFonts w:ascii="仿宋" w:hAnsi="仿宋" w:eastAsia="仿宋" w:cs="仿宋"/>
          <w:spacing w:val="-4"/>
          <w:sz w:val="28"/>
          <w:szCs w:val="28"/>
        </w:rPr>
        <w:t>3.财务章：由财务部保管，主要用于银行汇票、现金支票等需要</w:t>
      </w:r>
      <w:r>
        <w:rPr>
          <w:rFonts w:ascii="仿宋" w:hAnsi="仿宋" w:eastAsia="仿宋" w:cs="仿宋"/>
          <w:spacing w:val="6"/>
          <w:sz w:val="28"/>
          <w:szCs w:val="28"/>
        </w:rPr>
        <w:t xml:space="preserve"> </w:t>
      </w:r>
      <w:r>
        <w:rPr>
          <w:rFonts w:ascii="仿宋" w:hAnsi="仿宋" w:eastAsia="仿宋" w:cs="仿宋"/>
          <w:spacing w:val="-4"/>
          <w:sz w:val="28"/>
          <w:szCs w:val="28"/>
        </w:rPr>
        <w:t>加盖银行预留印鉴等业务或发票上使用，发票专用章主要用于发票盖</w:t>
      </w:r>
      <w:r>
        <w:rPr>
          <w:rFonts w:ascii="仿宋" w:hAnsi="仿宋" w:eastAsia="仿宋" w:cs="仿宋"/>
          <w:spacing w:val="7"/>
          <w:sz w:val="28"/>
          <w:szCs w:val="28"/>
        </w:rPr>
        <w:t xml:space="preserve"> </w:t>
      </w:r>
      <w:r>
        <w:rPr>
          <w:rFonts w:ascii="仿宋" w:hAnsi="仿宋" w:eastAsia="仿宋" w:cs="仿宋"/>
          <w:spacing w:val="-2"/>
          <w:sz w:val="28"/>
          <w:szCs w:val="28"/>
        </w:rPr>
        <w:t>章，发票专用章由财务部专人保管。</w:t>
      </w:r>
    </w:p>
    <w:p w14:paraId="7B940732">
      <w:pPr>
        <w:spacing w:before="46" w:line="356" w:lineRule="auto"/>
        <w:ind w:left="37" w:right="80" w:firstLine="544"/>
        <w:rPr>
          <w:rFonts w:ascii="仿宋" w:hAnsi="仿宋" w:eastAsia="仿宋" w:cs="仿宋"/>
          <w:sz w:val="28"/>
          <w:szCs w:val="28"/>
        </w:rPr>
      </w:pPr>
      <w:r>
        <w:rPr>
          <w:rFonts w:ascii="仿宋" w:hAnsi="仿宋" w:eastAsia="仿宋" w:cs="仿宋"/>
          <w:spacing w:val="-4"/>
          <w:sz w:val="28"/>
          <w:szCs w:val="28"/>
        </w:rPr>
        <w:t>4.各类印章的使用登记薄要由专人严格保存管理，不得损毁或遗</w:t>
      </w:r>
      <w:r>
        <w:rPr>
          <w:rFonts w:ascii="仿宋" w:hAnsi="仿宋" w:eastAsia="仿宋" w:cs="仿宋"/>
          <w:spacing w:val="13"/>
          <w:sz w:val="28"/>
          <w:szCs w:val="28"/>
        </w:rPr>
        <w:t xml:space="preserve"> </w:t>
      </w:r>
      <w:r>
        <w:rPr>
          <w:rFonts w:ascii="仿宋" w:hAnsi="仿宋" w:eastAsia="仿宋" w:cs="仿宋"/>
          <w:spacing w:val="-12"/>
          <w:sz w:val="28"/>
          <w:szCs w:val="28"/>
        </w:rPr>
        <w:t>失。</w:t>
      </w:r>
    </w:p>
    <w:p w14:paraId="52B5BC7E">
      <w:pPr>
        <w:spacing w:before="40" w:line="221" w:lineRule="auto"/>
        <w:ind w:left="603"/>
        <w:rPr>
          <w:rFonts w:ascii="仿宋" w:hAnsi="仿宋" w:eastAsia="仿宋" w:cs="仿宋"/>
          <w:sz w:val="28"/>
          <w:szCs w:val="28"/>
        </w:rPr>
      </w:pPr>
      <w:r>
        <w:rPr>
          <w:rFonts w:ascii="仿宋" w:hAnsi="仿宋" w:eastAsia="仿宋" w:cs="仿宋"/>
          <w:b/>
          <w:bCs/>
          <w:spacing w:val="-7"/>
          <w:sz w:val="28"/>
          <w:szCs w:val="28"/>
        </w:rPr>
        <w:t>第一百五十四条</w:t>
      </w:r>
      <w:r>
        <w:rPr>
          <w:rFonts w:ascii="仿宋" w:hAnsi="仿宋" w:eastAsia="仿宋" w:cs="仿宋"/>
          <w:spacing w:val="47"/>
          <w:sz w:val="28"/>
          <w:szCs w:val="28"/>
        </w:rPr>
        <w:t xml:space="preserve"> </w:t>
      </w:r>
      <w:r>
        <w:rPr>
          <w:rFonts w:ascii="仿宋" w:hAnsi="仿宋" w:eastAsia="仿宋" w:cs="仿宋"/>
          <w:b/>
          <w:bCs/>
          <w:spacing w:val="-7"/>
          <w:sz w:val="28"/>
          <w:szCs w:val="28"/>
        </w:rPr>
        <w:t>印章保管人的责权</w:t>
      </w:r>
    </w:p>
    <w:p w14:paraId="464B943D">
      <w:pPr>
        <w:spacing w:before="225" w:line="222" w:lineRule="auto"/>
        <w:jc w:val="right"/>
        <w:rPr>
          <w:rFonts w:ascii="仿宋" w:hAnsi="仿宋" w:eastAsia="仿宋" w:cs="仿宋"/>
          <w:sz w:val="28"/>
          <w:szCs w:val="28"/>
        </w:rPr>
      </w:pPr>
      <w:r>
        <w:rPr>
          <w:rFonts w:ascii="仿宋" w:hAnsi="仿宋" w:eastAsia="仿宋" w:cs="仿宋"/>
          <w:spacing w:val="-2"/>
          <w:sz w:val="28"/>
          <w:szCs w:val="28"/>
        </w:rPr>
        <w:t>对于基金会主要印章管理，采用的是分散管理相互监督的</w:t>
      </w:r>
      <w:r>
        <w:rPr>
          <w:rFonts w:ascii="仿宋" w:hAnsi="仿宋" w:eastAsia="仿宋" w:cs="仿宋"/>
          <w:spacing w:val="-3"/>
          <w:sz w:val="28"/>
          <w:szCs w:val="28"/>
        </w:rPr>
        <w:t>办法。</w:t>
      </w:r>
    </w:p>
    <w:p w14:paraId="3841E2DD">
      <w:pPr>
        <w:spacing w:line="222" w:lineRule="auto"/>
        <w:rPr>
          <w:rFonts w:ascii="仿宋" w:hAnsi="仿宋" w:eastAsia="仿宋" w:cs="仿宋"/>
          <w:sz w:val="28"/>
          <w:szCs w:val="28"/>
        </w:rPr>
        <w:sectPr>
          <w:pgSz w:w="11906" w:h="16839"/>
          <w:pgMar w:top="400" w:right="1718" w:bottom="400" w:left="1785" w:header="0" w:footer="850" w:gutter="0"/>
          <w:pgNumType w:fmt="decimal"/>
          <w:cols w:space="720" w:num="1"/>
        </w:sectPr>
      </w:pPr>
    </w:p>
    <w:p w14:paraId="456E924C">
      <w:pPr>
        <w:spacing w:line="287" w:lineRule="auto"/>
        <w:rPr>
          <w:rFonts w:ascii="Arial"/>
          <w:sz w:val="21"/>
        </w:rPr>
      </w:pPr>
    </w:p>
    <w:p w14:paraId="682D1508">
      <w:pPr>
        <w:spacing w:line="287" w:lineRule="auto"/>
        <w:rPr>
          <w:rFonts w:ascii="Arial"/>
          <w:sz w:val="21"/>
        </w:rPr>
      </w:pPr>
    </w:p>
    <w:p w14:paraId="57DBE1AB">
      <w:pPr>
        <w:spacing w:line="288" w:lineRule="auto"/>
        <w:rPr>
          <w:rFonts w:ascii="Arial"/>
          <w:sz w:val="21"/>
        </w:rPr>
      </w:pPr>
    </w:p>
    <w:p w14:paraId="5AC649AC">
      <w:pPr>
        <w:spacing w:line="288" w:lineRule="auto"/>
        <w:rPr>
          <w:rFonts w:ascii="Arial"/>
          <w:sz w:val="21"/>
        </w:rPr>
      </w:pPr>
    </w:p>
    <w:p w14:paraId="3A6EEEB8">
      <w:pPr>
        <w:spacing w:before="91" w:line="353" w:lineRule="auto"/>
        <w:ind w:left="33" w:right="101" w:firstLine="1"/>
        <w:rPr>
          <w:rFonts w:ascii="仿宋" w:hAnsi="仿宋" w:eastAsia="仿宋" w:cs="仿宋"/>
          <w:sz w:val="28"/>
          <w:szCs w:val="28"/>
        </w:rPr>
      </w:pPr>
      <w:r>
        <w:rPr>
          <w:rFonts w:ascii="仿宋" w:hAnsi="仿宋" w:eastAsia="仿宋" w:cs="仿宋"/>
          <w:spacing w:val="-4"/>
          <w:sz w:val="28"/>
          <w:szCs w:val="28"/>
        </w:rPr>
        <w:t>行政部主要职责是对印章的使用进行合理性管理，而印章保管人具有</w:t>
      </w:r>
      <w:r>
        <w:rPr>
          <w:rFonts w:ascii="仿宋" w:hAnsi="仿宋" w:eastAsia="仿宋" w:cs="仿宋"/>
          <w:spacing w:val="4"/>
          <w:sz w:val="28"/>
          <w:szCs w:val="28"/>
        </w:rPr>
        <w:t xml:space="preserve"> </w:t>
      </w:r>
      <w:r>
        <w:rPr>
          <w:rFonts w:ascii="仿宋" w:hAnsi="仿宋" w:eastAsia="仿宋" w:cs="仿宋"/>
          <w:spacing w:val="-2"/>
          <w:sz w:val="28"/>
          <w:szCs w:val="28"/>
        </w:rPr>
        <w:t>使用、监督、保管等多重责任与权力。</w:t>
      </w:r>
    </w:p>
    <w:p w14:paraId="6AAC03E5">
      <w:pPr>
        <w:spacing w:before="45" w:line="360" w:lineRule="auto"/>
        <w:ind w:left="32" w:right="66" w:firstLine="571"/>
        <w:jc w:val="both"/>
        <w:rPr>
          <w:rFonts w:ascii="仿宋" w:hAnsi="仿宋" w:eastAsia="仿宋" w:cs="仿宋"/>
          <w:sz w:val="28"/>
          <w:szCs w:val="28"/>
        </w:rPr>
      </w:pPr>
      <w:r>
        <w:rPr>
          <w:rFonts w:ascii="仿宋" w:hAnsi="仿宋" w:eastAsia="仿宋" w:cs="仿宋"/>
          <w:spacing w:val="-4"/>
          <w:sz w:val="28"/>
          <w:szCs w:val="28"/>
        </w:rPr>
        <w:t>1.公章、财务章的保管人无独立使用权力，</w:t>
      </w:r>
      <w:r>
        <w:rPr>
          <w:rFonts w:ascii="仿宋" w:hAnsi="仿宋" w:eastAsia="仿宋" w:cs="仿宋"/>
          <w:spacing w:val="-5"/>
          <w:sz w:val="28"/>
          <w:szCs w:val="28"/>
        </w:rPr>
        <w:t>但具有监督及允许使</w:t>
      </w:r>
      <w:r>
        <w:rPr>
          <w:rFonts w:ascii="仿宋" w:hAnsi="仿宋" w:eastAsia="仿宋" w:cs="仿宋"/>
          <w:sz w:val="28"/>
          <w:szCs w:val="28"/>
        </w:rPr>
        <w:t xml:space="preserve"> </w:t>
      </w:r>
      <w:r>
        <w:rPr>
          <w:rFonts w:ascii="仿宋" w:hAnsi="仿宋" w:eastAsia="仿宋" w:cs="仿宋"/>
          <w:spacing w:val="-3"/>
          <w:sz w:val="28"/>
          <w:szCs w:val="28"/>
        </w:rPr>
        <w:t>用权力，因此公章、财务章的保管人对印章的使用结果负主要责任，</w:t>
      </w:r>
      <w:r>
        <w:rPr>
          <w:rFonts w:ascii="仿宋" w:hAnsi="仿宋" w:eastAsia="仿宋" w:cs="仿宋"/>
          <w:spacing w:val="11"/>
          <w:sz w:val="28"/>
          <w:szCs w:val="28"/>
        </w:rPr>
        <w:t xml:space="preserve"> </w:t>
      </w:r>
      <w:r>
        <w:rPr>
          <w:rFonts w:ascii="仿宋" w:hAnsi="仿宋" w:eastAsia="仿宋" w:cs="仿宋"/>
          <w:spacing w:val="-2"/>
          <w:sz w:val="28"/>
          <w:szCs w:val="28"/>
        </w:rPr>
        <w:t>经手人则负部分责任；</w:t>
      </w:r>
    </w:p>
    <w:p w14:paraId="0F04E423">
      <w:pPr>
        <w:spacing w:before="43" w:line="222" w:lineRule="auto"/>
        <w:ind w:left="586"/>
        <w:rPr>
          <w:rFonts w:ascii="仿宋" w:hAnsi="仿宋" w:eastAsia="仿宋" w:cs="仿宋"/>
          <w:sz w:val="28"/>
          <w:szCs w:val="28"/>
        </w:rPr>
      </w:pPr>
      <w:r>
        <w:rPr>
          <w:rFonts w:ascii="仿宋" w:hAnsi="仿宋" w:eastAsia="仿宋" w:cs="仿宋"/>
          <w:spacing w:val="-1"/>
          <w:sz w:val="28"/>
          <w:szCs w:val="28"/>
        </w:rPr>
        <w:t>2.未经审批同意擅自使用的，保管人对使用结果负全部责任；</w:t>
      </w:r>
    </w:p>
    <w:p w14:paraId="35F028CC">
      <w:pPr>
        <w:spacing w:before="224" w:line="359" w:lineRule="auto"/>
        <w:ind w:left="33" w:right="101" w:firstLine="554"/>
        <w:rPr>
          <w:rFonts w:ascii="仿宋" w:hAnsi="仿宋" w:eastAsia="仿宋" w:cs="仿宋"/>
          <w:sz w:val="28"/>
          <w:szCs w:val="28"/>
        </w:rPr>
      </w:pPr>
      <w:r>
        <w:rPr>
          <w:rFonts w:ascii="仿宋" w:hAnsi="仿宋" w:eastAsia="仿宋" w:cs="仿宋"/>
          <w:spacing w:val="-4"/>
          <w:sz w:val="28"/>
          <w:szCs w:val="28"/>
        </w:rPr>
        <w:t>3.法人私章的保管者是出纳，既是保管者又是使用者，但其无独</w:t>
      </w:r>
      <w:r>
        <w:rPr>
          <w:rFonts w:ascii="仿宋" w:hAnsi="仿宋" w:eastAsia="仿宋" w:cs="仿宋"/>
          <w:spacing w:val="6"/>
          <w:sz w:val="28"/>
          <w:szCs w:val="28"/>
        </w:rPr>
        <w:t xml:space="preserve"> </w:t>
      </w:r>
      <w:r>
        <w:rPr>
          <w:rFonts w:ascii="仿宋" w:hAnsi="仿宋" w:eastAsia="仿宋" w:cs="仿宋"/>
          <w:spacing w:val="-4"/>
          <w:sz w:val="28"/>
          <w:szCs w:val="28"/>
        </w:rPr>
        <w:t>立使用权力，需依据财务部负责人审批的支付申请或取汇款凭证方可</w:t>
      </w:r>
      <w:r>
        <w:rPr>
          <w:rFonts w:ascii="仿宋" w:hAnsi="仿宋" w:eastAsia="仿宋" w:cs="仿宋"/>
          <w:spacing w:val="5"/>
          <w:sz w:val="28"/>
          <w:szCs w:val="28"/>
        </w:rPr>
        <w:t xml:space="preserve"> </w:t>
      </w:r>
      <w:r>
        <w:rPr>
          <w:rFonts w:ascii="仿宋" w:hAnsi="仿宋" w:eastAsia="仿宋" w:cs="仿宋"/>
          <w:spacing w:val="-2"/>
          <w:sz w:val="28"/>
          <w:szCs w:val="28"/>
        </w:rPr>
        <w:t>使用，否则负全部责任。</w:t>
      </w:r>
    </w:p>
    <w:p w14:paraId="7C413251">
      <w:pPr>
        <w:spacing w:before="46" w:line="353" w:lineRule="auto"/>
        <w:ind w:left="40" w:firstLine="563"/>
        <w:rPr>
          <w:rFonts w:ascii="仿宋" w:hAnsi="仿宋" w:eastAsia="仿宋" w:cs="仿宋"/>
          <w:sz w:val="28"/>
          <w:szCs w:val="28"/>
        </w:rPr>
      </w:pPr>
      <w:r>
        <w:rPr>
          <w:rFonts w:ascii="仿宋" w:hAnsi="仿宋" w:eastAsia="仿宋" w:cs="仿宋"/>
          <w:b/>
          <w:bCs/>
          <w:sz w:val="28"/>
          <w:szCs w:val="28"/>
        </w:rPr>
        <w:t>第一百五十五条</w:t>
      </w:r>
      <w:r>
        <w:rPr>
          <w:rFonts w:ascii="仿宋" w:hAnsi="仿宋" w:eastAsia="仿宋" w:cs="仿宋"/>
          <w:sz w:val="28"/>
          <w:szCs w:val="28"/>
        </w:rPr>
        <w:t xml:space="preserve"> 基金会员工因异地执行重大项目或</w:t>
      </w:r>
      <w:r>
        <w:rPr>
          <w:rFonts w:ascii="仿宋" w:hAnsi="仿宋" w:eastAsia="仿宋" w:cs="仿宋"/>
          <w:spacing w:val="-1"/>
          <w:sz w:val="28"/>
          <w:szCs w:val="28"/>
        </w:rPr>
        <w:t>完成重要业</w:t>
      </w:r>
      <w:r>
        <w:rPr>
          <w:rFonts w:ascii="仿宋" w:hAnsi="仿宋" w:eastAsia="仿宋" w:cs="仿宋"/>
          <w:sz w:val="28"/>
          <w:szCs w:val="28"/>
        </w:rPr>
        <w:t xml:space="preserve"> </w:t>
      </w:r>
      <w:r>
        <w:rPr>
          <w:rFonts w:ascii="仿宋" w:hAnsi="仿宋" w:eastAsia="仿宋" w:cs="仿宋"/>
          <w:spacing w:val="-10"/>
          <w:sz w:val="28"/>
          <w:szCs w:val="28"/>
        </w:rPr>
        <w:t>务，需要携带基金会印章出差的，须经基金会负责人审批并及时归还。</w:t>
      </w:r>
    </w:p>
    <w:p w14:paraId="4E00C57E">
      <w:pPr>
        <w:spacing w:before="49" w:line="359" w:lineRule="auto"/>
        <w:ind w:left="34" w:right="101" w:firstLine="569"/>
        <w:rPr>
          <w:rFonts w:ascii="仿宋" w:hAnsi="仿宋" w:eastAsia="仿宋" w:cs="仿宋"/>
          <w:sz w:val="28"/>
          <w:szCs w:val="28"/>
        </w:rPr>
      </w:pPr>
      <w:r>
        <w:rPr>
          <w:rFonts w:ascii="仿宋" w:hAnsi="仿宋" w:eastAsia="仿宋" w:cs="仿宋"/>
          <w:b/>
          <w:bCs/>
          <w:sz w:val="28"/>
          <w:szCs w:val="28"/>
        </w:rPr>
        <w:t>第一百五十六条</w:t>
      </w:r>
      <w:r>
        <w:rPr>
          <w:rFonts w:ascii="仿宋" w:hAnsi="仿宋" w:eastAsia="仿宋" w:cs="仿宋"/>
          <w:sz w:val="28"/>
          <w:szCs w:val="28"/>
        </w:rPr>
        <w:t xml:space="preserve"> 开具个人相关证明，需由基金会负</w:t>
      </w:r>
      <w:r>
        <w:rPr>
          <w:rFonts w:ascii="仿宋" w:hAnsi="仿宋" w:eastAsia="仿宋" w:cs="仿宋"/>
          <w:spacing w:val="-1"/>
          <w:sz w:val="28"/>
          <w:szCs w:val="28"/>
        </w:rPr>
        <w:t>责人及以上</w:t>
      </w:r>
      <w:r>
        <w:rPr>
          <w:rFonts w:ascii="仿宋" w:hAnsi="仿宋" w:eastAsia="仿宋" w:cs="仿宋"/>
          <w:sz w:val="28"/>
          <w:szCs w:val="28"/>
        </w:rPr>
        <w:t xml:space="preserve"> </w:t>
      </w:r>
      <w:r>
        <w:rPr>
          <w:rFonts w:ascii="仿宋" w:hAnsi="仿宋" w:eastAsia="仿宋" w:cs="仿宋"/>
          <w:spacing w:val="-4"/>
          <w:sz w:val="28"/>
          <w:szCs w:val="28"/>
        </w:rPr>
        <w:t>担保签批后方能使用，如涉及到个人经济担保与证明时，原则上一律</w:t>
      </w:r>
      <w:r>
        <w:rPr>
          <w:rFonts w:ascii="仿宋" w:hAnsi="仿宋" w:eastAsia="仿宋" w:cs="仿宋"/>
          <w:spacing w:val="4"/>
          <w:sz w:val="28"/>
          <w:szCs w:val="28"/>
        </w:rPr>
        <w:t xml:space="preserve"> </w:t>
      </w:r>
      <w:r>
        <w:rPr>
          <w:rFonts w:ascii="仿宋" w:hAnsi="仿宋" w:eastAsia="仿宋" w:cs="仿宋"/>
          <w:spacing w:val="-1"/>
          <w:sz w:val="28"/>
          <w:szCs w:val="28"/>
        </w:rPr>
        <w:t>不予证明，其不良结果由签批人与保管人以情节共同负责。</w:t>
      </w:r>
    </w:p>
    <w:p w14:paraId="4D609B37">
      <w:pPr>
        <w:spacing w:before="45" w:line="355" w:lineRule="auto"/>
        <w:ind w:left="31" w:right="101" w:firstLine="572"/>
        <w:rPr>
          <w:rFonts w:ascii="仿宋" w:hAnsi="仿宋" w:eastAsia="仿宋" w:cs="仿宋"/>
          <w:sz w:val="28"/>
          <w:szCs w:val="28"/>
        </w:rPr>
      </w:pPr>
      <w:r>
        <w:rPr>
          <w:rFonts w:ascii="仿宋" w:hAnsi="仿宋" w:eastAsia="仿宋" w:cs="仿宋"/>
          <w:b/>
          <w:bCs/>
          <w:sz w:val="28"/>
          <w:szCs w:val="28"/>
        </w:rPr>
        <w:t>第一百五十七条</w:t>
      </w:r>
      <w:r>
        <w:rPr>
          <w:rFonts w:ascii="仿宋" w:hAnsi="仿宋" w:eastAsia="仿宋" w:cs="仿宋"/>
          <w:sz w:val="28"/>
          <w:szCs w:val="28"/>
        </w:rPr>
        <w:t xml:space="preserve"> 基金会印章只适用于与基金会相关</w:t>
      </w:r>
      <w:r>
        <w:rPr>
          <w:rFonts w:ascii="仿宋" w:hAnsi="仿宋" w:eastAsia="仿宋" w:cs="仿宋"/>
          <w:spacing w:val="-1"/>
          <w:sz w:val="28"/>
          <w:szCs w:val="28"/>
        </w:rPr>
        <w:t>业务，不得</w:t>
      </w:r>
      <w:r>
        <w:rPr>
          <w:rFonts w:ascii="仿宋" w:hAnsi="仿宋" w:eastAsia="仿宋" w:cs="仿宋"/>
          <w:sz w:val="28"/>
          <w:szCs w:val="28"/>
        </w:rPr>
        <w:t xml:space="preserve"> </w:t>
      </w:r>
      <w:r>
        <w:rPr>
          <w:rFonts w:ascii="仿宋" w:hAnsi="仿宋" w:eastAsia="仿宋" w:cs="仿宋"/>
          <w:spacing w:val="-2"/>
          <w:sz w:val="28"/>
          <w:szCs w:val="28"/>
        </w:rPr>
        <w:t>从事有损基金会利益之行为。</w:t>
      </w:r>
    </w:p>
    <w:p w14:paraId="78659BD3">
      <w:pPr>
        <w:spacing w:before="47" w:line="359" w:lineRule="auto"/>
        <w:ind w:left="33" w:right="66" w:firstLine="570"/>
        <w:jc w:val="both"/>
        <w:rPr>
          <w:rFonts w:ascii="仿宋" w:hAnsi="仿宋" w:eastAsia="仿宋" w:cs="仿宋"/>
          <w:sz w:val="28"/>
          <w:szCs w:val="28"/>
        </w:rPr>
      </w:pPr>
      <w:r>
        <w:rPr>
          <w:rFonts w:ascii="仿宋" w:hAnsi="仿宋" w:eastAsia="仿宋" w:cs="仿宋"/>
          <w:b/>
          <w:bCs/>
          <w:sz w:val="28"/>
          <w:szCs w:val="28"/>
        </w:rPr>
        <w:t>第一百五十八条</w:t>
      </w:r>
      <w:r>
        <w:rPr>
          <w:rFonts w:ascii="仿宋" w:hAnsi="仿宋" w:eastAsia="仿宋" w:cs="仿宋"/>
          <w:sz w:val="28"/>
          <w:szCs w:val="28"/>
        </w:rPr>
        <w:t xml:space="preserve"> 所有印章的使用，必须严格执行基</w:t>
      </w:r>
      <w:r>
        <w:rPr>
          <w:rFonts w:ascii="仿宋" w:hAnsi="仿宋" w:eastAsia="仿宋" w:cs="仿宋"/>
          <w:spacing w:val="-1"/>
          <w:sz w:val="28"/>
          <w:szCs w:val="28"/>
        </w:rPr>
        <w:t>金会的印章</w:t>
      </w:r>
      <w:r>
        <w:rPr>
          <w:rFonts w:ascii="仿宋" w:hAnsi="仿宋" w:eastAsia="仿宋" w:cs="仿宋"/>
          <w:sz w:val="28"/>
          <w:szCs w:val="28"/>
        </w:rPr>
        <w:t xml:space="preserve"> </w:t>
      </w:r>
      <w:r>
        <w:rPr>
          <w:rFonts w:ascii="仿宋" w:hAnsi="仿宋" w:eastAsia="仿宋" w:cs="仿宋"/>
          <w:spacing w:val="-3"/>
          <w:sz w:val="28"/>
          <w:szCs w:val="28"/>
        </w:rPr>
        <w:t>使用规定，做好申请和使用登记。如违规使用出现问题，后果自负，</w:t>
      </w:r>
      <w:r>
        <w:rPr>
          <w:rFonts w:ascii="仿宋" w:hAnsi="仿宋" w:eastAsia="仿宋" w:cs="仿宋"/>
          <w:spacing w:val="10"/>
          <w:sz w:val="28"/>
          <w:szCs w:val="28"/>
        </w:rPr>
        <w:t xml:space="preserve"> </w:t>
      </w:r>
      <w:r>
        <w:rPr>
          <w:rFonts w:ascii="仿宋" w:hAnsi="仿宋" w:eastAsia="仿宋" w:cs="仿宋"/>
          <w:spacing w:val="-1"/>
          <w:sz w:val="28"/>
          <w:szCs w:val="28"/>
        </w:rPr>
        <w:t>给基金会造成损失的，基金会将依法追究其法律责任。</w:t>
      </w:r>
    </w:p>
    <w:p w14:paraId="485BE66B">
      <w:pPr>
        <w:spacing w:before="45" w:line="353" w:lineRule="auto"/>
        <w:ind w:left="32" w:right="20" w:firstLine="571"/>
        <w:rPr>
          <w:rFonts w:ascii="仿宋" w:hAnsi="仿宋" w:eastAsia="仿宋" w:cs="仿宋"/>
          <w:sz w:val="28"/>
          <w:szCs w:val="28"/>
        </w:rPr>
      </w:pPr>
      <w:r>
        <w:rPr>
          <w:rFonts w:ascii="仿宋" w:hAnsi="仿宋" w:eastAsia="仿宋" w:cs="仿宋"/>
          <w:b/>
          <w:bCs/>
          <w:spacing w:val="-7"/>
          <w:sz w:val="28"/>
          <w:szCs w:val="28"/>
        </w:rPr>
        <w:t>第一百五十九条</w:t>
      </w:r>
      <w:r>
        <w:rPr>
          <w:rFonts w:ascii="仿宋" w:hAnsi="仿宋" w:eastAsia="仿宋" w:cs="仿宋"/>
          <w:spacing w:val="-7"/>
          <w:sz w:val="28"/>
          <w:szCs w:val="28"/>
        </w:rPr>
        <w:t xml:space="preserve"> 本制度由行政部制定，经基金会秘书长审核</w:t>
      </w:r>
      <w:r>
        <w:rPr>
          <w:rFonts w:ascii="仿宋" w:hAnsi="仿宋" w:eastAsia="仿宋" w:cs="仿宋"/>
          <w:spacing w:val="-8"/>
          <w:sz w:val="28"/>
          <w:szCs w:val="28"/>
        </w:rPr>
        <w:t>后，</w:t>
      </w:r>
      <w:r>
        <w:rPr>
          <w:rFonts w:ascii="仿宋" w:hAnsi="仿宋" w:eastAsia="仿宋" w:cs="仿宋"/>
          <w:sz w:val="28"/>
          <w:szCs w:val="28"/>
        </w:rPr>
        <w:t xml:space="preserve"> </w:t>
      </w:r>
      <w:r>
        <w:rPr>
          <w:rFonts w:ascii="仿宋" w:hAnsi="仿宋" w:eastAsia="仿宋" w:cs="仿宋"/>
          <w:spacing w:val="-2"/>
          <w:sz w:val="28"/>
          <w:szCs w:val="28"/>
        </w:rPr>
        <w:t>报理事会审议通过执行。</w:t>
      </w:r>
    </w:p>
    <w:p w14:paraId="0C9C53D1">
      <w:pPr>
        <w:spacing w:line="353" w:lineRule="auto"/>
        <w:rPr>
          <w:rFonts w:ascii="仿宋" w:hAnsi="仿宋" w:eastAsia="仿宋" w:cs="仿宋"/>
          <w:sz w:val="28"/>
          <w:szCs w:val="28"/>
        </w:rPr>
        <w:sectPr>
          <w:pgSz w:w="11906" w:h="16839"/>
          <w:pgMar w:top="400" w:right="1698" w:bottom="400" w:left="1785" w:header="0" w:footer="850" w:gutter="0"/>
          <w:pgNumType w:fmt="decimal"/>
          <w:cols w:space="720" w:num="1"/>
        </w:sectPr>
      </w:pPr>
    </w:p>
    <w:p w14:paraId="14BCEC49">
      <w:pPr>
        <w:spacing w:line="258" w:lineRule="auto"/>
        <w:rPr>
          <w:rFonts w:ascii="Arial"/>
          <w:sz w:val="21"/>
        </w:rPr>
      </w:pPr>
    </w:p>
    <w:p w14:paraId="1FF10A55">
      <w:pPr>
        <w:spacing w:line="258" w:lineRule="auto"/>
        <w:rPr>
          <w:rFonts w:ascii="Arial"/>
          <w:sz w:val="21"/>
        </w:rPr>
      </w:pPr>
    </w:p>
    <w:p w14:paraId="66B6A2E4">
      <w:pPr>
        <w:spacing w:line="258" w:lineRule="auto"/>
        <w:rPr>
          <w:rFonts w:ascii="Arial"/>
          <w:sz w:val="21"/>
        </w:rPr>
      </w:pPr>
    </w:p>
    <w:p w14:paraId="49F67B12">
      <w:pPr>
        <w:spacing w:line="259" w:lineRule="auto"/>
        <w:rPr>
          <w:rFonts w:ascii="Arial"/>
          <w:sz w:val="21"/>
        </w:rPr>
      </w:pPr>
    </w:p>
    <w:p w14:paraId="58929836">
      <w:pPr>
        <w:spacing w:before="120" w:line="221" w:lineRule="auto"/>
        <w:ind w:left="775"/>
        <w:rPr>
          <w:rFonts w:ascii="方正舒体" w:hAnsi="方正舒体" w:eastAsia="方正舒体" w:cs="方正舒体"/>
          <w:sz w:val="35"/>
          <w:szCs w:val="35"/>
        </w:rPr>
      </w:pPr>
      <w:bookmarkStart w:id="22" w:name="bookmark26"/>
      <w:bookmarkEnd w:id="22"/>
      <w:r>
        <w:rPr>
          <w:rFonts w:ascii="方正舒体" w:hAnsi="方正舒体" w:eastAsia="方正舒体" w:cs="方正舒体"/>
          <w:spacing w:val="8"/>
          <w:sz w:val="35"/>
          <w:szCs w:val="35"/>
        </w:rPr>
        <w:t>青海省青海湖生态保护基金会档案管理制度</w:t>
      </w:r>
    </w:p>
    <w:p w14:paraId="2C6EC850">
      <w:pPr>
        <w:spacing w:before="208" w:line="222" w:lineRule="auto"/>
        <w:ind w:left="3125"/>
        <w:rPr>
          <w:rFonts w:ascii="黑体" w:hAnsi="黑体" w:eastAsia="黑体" w:cs="黑体"/>
          <w:sz w:val="28"/>
          <w:szCs w:val="28"/>
        </w:rPr>
      </w:pPr>
      <w:r>
        <w:rPr>
          <w:rFonts w:ascii="黑体" w:hAnsi="黑体" w:eastAsia="黑体" w:cs="黑体"/>
          <w:b/>
          <w:bCs/>
          <w:spacing w:val="-4"/>
          <w:sz w:val="28"/>
          <w:szCs w:val="28"/>
        </w:rPr>
        <w:t>第五十章</w:t>
      </w:r>
      <w:r>
        <w:rPr>
          <w:rFonts w:ascii="黑体" w:hAnsi="黑体" w:eastAsia="黑体" w:cs="黑体"/>
          <w:spacing w:val="-4"/>
          <w:sz w:val="28"/>
          <w:szCs w:val="28"/>
        </w:rPr>
        <w:t xml:space="preserve"> </w:t>
      </w:r>
      <w:r>
        <w:rPr>
          <w:rFonts w:ascii="黑体" w:hAnsi="黑体" w:eastAsia="黑体" w:cs="黑体"/>
          <w:b/>
          <w:bCs/>
          <w:spacing w:val="-4"/>
          <w:sz w:val="28"/>
          <w:szCs w:val="28"/>
        </w:rPr>
        <w:t>总</w:t>
      </w:r>
      <w:r>
        <w:rPr>
          <w:rFonts w:ascii="黑体" w:hAnsi="黑体" w:eastAsia="黑体" w:cs="黑体"/>
          <w:spacing w:val="8"/>
          <w:sz w:val="28"/>
          <w:szCs w:val="28"/>
        </w:rPr>
        <w:t xml:space="preserve"> </w:t>
      </w:r>
      <w:r>
        <w:rPr>
          <w:rFonts w:ascii="黑体" w:hAnsi="黑体" w:eastAsia="黑体" w:cs="黑体"/>
          <w:b/>
          <w:bCs/>
          <w:spacing w:val="-4"/>
          <w:sz w:val="28"/>
          <w:szCs w:val="28"/>
        </w:rPr>
        <w:t>则</w:t>
      </w:r>
    </w:p>
    <w:p w14:paraId="0C993E3C">
      <w:pPr>
        <w:spacing w:before="219" w:line="362" w:lineRule="auto"/>
        <w:ind w:left="33" w:firstLine="570"/>
        <w:jc w:val="both"/>
        <w:rPr>
          <w:rFonts w:ascii="仿宋" w:hAnsi="仿宋" w:eastAsia="仿宋" w:cs="仿宋"/>
          <w:sz w:val="28"/>
          <w:szCs w:val="28"/>
        </w:rPr>
      </w:pPr>
      <w:r>
        <w:rPr>
          <w:rFonts w:ascii="仿宋" w:hAnsi="仿宋" w:eastAsia="仿宋" w:cs="仿宋"/>
          <w:b/>
          <w:bCs/>
          <w:spacing w:val="-3"/>
          <w:sz w:val="28"/>
          <w:szCs w:val="28"/>
        </w:rPr>
        <w:t>第一百六十条</w:t>
      </w:r>
      <w:r>
        <w:rPr>
          <w:rFonts w:ascii="仿宋" w:hAnsi="仿宋" w:eastAsia="仿宋" w:cs="仿宋"/>
          <w:spacing w:val="-3"/>
          <w:sz w:val="28"/>
          <w:szCs w:val="28"/>
        </w:rPr>
        <w:t xml:space="preserve"> 为加强青海湖生态保护基金会</w:t>
      </w:r>
      <w:r>
        <w:rPr>
          <w:rFonts w:ascii="仿宋" w:hAnsi="仿宋" w:eastAsia="仿宋" w:cs="仿宋"/>
          <w:spacing w:val="-4"/>
          <w:sz w:val="28"/>
          <w:szCs w:val="28"/>
        </w:rPr>
        <w:t>（以下简称</w:t>
      </w:r>
      <w:r>
        <w:rPr>
          <w:rFonts w:ascii="仿宋" w:hAnsi="仿宋" w:eastAsia="仿宋" w:cs="仿宋"/>
          <w:spacing w:val="-50"/>
          <w:sz w:val="28"/>
          <w:szCs w:val="28"/>
        </w:rPr>
        <w:t xml:space="preserve"> </w:t>
      </w:r>
      <w:r>
        <w:rPr>
          <w:rFonts w:ascii="仿宋" w:hAnsi="仿宋" w:eastAsia="仿宋" w:cs="仿宋"/>
          <w:spacing w:val="-4"/>
          <w:sz w:val="28"/>
          <w:szCs w:val="28"/>
        </w:rPr>
        <w:t>“基金</w:t>
      </w:r>
      <w:r>
        <w:rPr>
          <w:rFonts w:ascii="仿宋" w:hAnsi="仿宋" w:eastAsia="仿宋" w:cs="仿宋"/>
          <w:sz w:val="28"/>
          <w:szCs w:val="28"/>
        </w:rPr>
        <w:t xml:space="preserve"> </w:t>
      </w:r>
      <w:r>
        <w:rPr>
          <w:rFonts w:ascii="仿宋" w:hAnsi="仿宋" w:eastAsia="仿宋" w:cs="仿宋"/>
          <w:spacing w:val="-5"/>
          <w:sz w:val="28"/>
          <w:szCs w:val="28"/>
        </w:rPr>
        <w:t>会</w:t>
      </w:r>
      <w:r>
        <w:rPr>
          <w:rFonts w:ascii="仿宋" w:hAnsi="仿宋" w:eastAsia="仿宋" w:cs="仿宋"/>
          <w:spacing w:val="-103"/>
          <w:sz w:val="28"/>
          <w:szCs w:val="28"/>
        </w:rPr>
        <w:t xml:space="preserve"> </w:t>
      </w:r>
      <w:r>
        <w:rPr>
          <w:rFonts w:ascii="仿宋" w:hAnsi="仿宋" w:eastAsia="仿宋" w:cs="仿宋"/>
          <w:spacing w:val="-5"/>
          <w:sz w:val="28"/>
          <w:szCs w:val="28"/>
        </w:rPr>
        <w:t>”）各类档案的规范管理，合理保证档案的保管、使用安全以</w:t>
      </w:r>
      <w:r>
        <w:rPr>
          <w:rFonts w:ascii="仿宋" w:hAnsi="仿宋" w:eastAsia="仿宋" w:cs="仿宋"/>
          <w:spacing w:val="-6"/>
          <w:sz w:val="28"/>
          <w:szCs w:val="28"/>
        </w:rPr>
        <w:t>及档</w:t>
      </w:r>
      <w:r>
        <w:rPr>
          <w:rFonts w:ascii="仿宋" w:hAnsi="仿宋" w:eastAsia="仿宋" w:cs="仿宋"/>
          <w:sz w:val="28"/>
          <w:szCs w:val="28"/>
        </w:rPr>
        <w:t xml:space="preserve"> </w:t>
      </w:r>
      <w:r>
        <w:rPr>
          <w:rFonts w:ascii="仿宋" w:hAnsi="仿宋" w:eastAsia="仿宋" w:cs="仿宋"/>
          <w:spacing w:val="1"/>
          <w:sz w:val="28"/>
          <w:szCs w:val="28"/>
        </w:rPr>
        <w:t>案的完整性及保密性,更好地为基金会各项工作提供服务</w:t>
      </w:r>
      <w:r>
        <w:rPr>
          <w:rFonts w:ascii="仿宋" w:hAnsi="仿宋" w:eastAsia="仿宋" w:cs="仿宋"/>
          <w:sz w:val="28"/>
          <w:szCs w:val="28"/>
        </w:rPr>
        <w:t xml:space="preserve">，根据《中 </w:t>
      </w:r>
      <w:r>
        <w:rPr>
          <w:rFonts w:ascii="仿宋" w:hAnsi="仿宋" w:eastAsia="仿宋" w:cs="仿宋"/>
          <w:spacing w:val="-10"/>
          <w:sz w:val="28"/>
          <w:szCs w:val="28"/>
        </w:rPr>
        <w:t>华人民共和国档案法》、《基金会管理条例》等有关规定制订本办法。</w:t>
      </w:r>
    </w:p>
    <w:p w14:paraId="5358B765">
      <w:pPr>
        <w:spacing w:line="257" w:lineRule="auto"/>
        <w:rPr>
          <w:rFonts w:ascii="Arial"/>
          <w:sz w:val="21"/>
        </w:rPr>
      </w:pPr>
    </w:p>
    <w:p w14:paraId="7593F503">
      <w:pPr>
        <w:spacing w:line="258" w:lineRule="auto"/>
        <w:rPr>
          <w:rFonts w:ascii="Arial"/>
          <w:sz w:val="21"/>
        </w:rPr>
      </w:pPr>
    </w:p>
    <w:p w14:paraId="1630002D">
      <w:pPr>
        <w:spacing w:before="91" w:line="361" w:lineRule="auto"/>
        <w:ind w:left="34" w:right="7" w:firstLine="569"/>
        <w:jc w:val="both"/>
        <w:rPr>
          <w:rFonts w:ascii="仿宋" w:hAnsi="仿宋" w:eastAsia="仿宋" w:cs="仿宋"/>
          <w:sz w:val="28"/>
          <w:szCs w:val="28"/>
        </w:rPr>
      </w:pPr>
      <w:r>
        <w:rPr>
          <w:rFonts w:ascii="仿宋" w:hAnsi="仿宋" w:eastAsia="仿宋" w:cs="仿宋"/>
          <w:b/>
          <w:bCs/>
          <w:sz w:val="28"/>
          <w:szCs w:val="28"/>
        </w:rPr>
        <w:t>第一百六十一条</w:t>
      </w:r>
      <w:r>
        <w:rPr>
          <w:rFonts w:ascii="仿宋" w:hAnsi="仿宋" w:eastAsia="仿宋" w:cs="仿宋"/>
          <w:sz w:val="28"/>
          <w:szCs w:val="28"/>
        </w:rPr>
        <w:t xml:space="preserve"> 本办法所称档案是指青海湖生态保</w:t>
      </w:r>
      <w:r>
        <w:rPr>
          <w:rFonts w:ascii="仿宋" w:hAnsi="仿宋" w:eastAsia="仿宋" w:cs="仿宋"/>
          <w:spacing w:val="-1"/>
          <w:sz w:val="28"/>
          <w:szCs w:val="28"/>
        </w:rPr>
        <w:t>护基金会自</w:t>
      </w:r>
      <w:r>
        <w:rPr>
          <w:rFonts w:ascii="仿宋" w:hAnsi="仿宋" w:eastAsia="仿宋" w:cs="仿宋"/>
          <w:sz w:val="28"/>
          <w:szCs w:val="28"/>
        </w:rPr>
        <w:t xml:space="preserve"> </w:t>
      </w:r>
      <w:r>
        <w:rPr>
          <w:rFonts w:ascii="仿宋" w:hAnsi="仿宋" w:eastAsia="仿宋" w:cs="仿宋"/>
          <w:spacing w:val="-4"/>
          <w:sz w:val="28"/>
          <w:szCs w:val="28"/>
        </w:rPr>
        <w:t>成立以来，在治理、人事行政、业务管理工作和活动中形成的对青海</w:t>
      </w:r>
      <w:r>
        <w:rPr>
          <w:rFonts w:ascii="仿宋" w:hAnsi="仿宋" w:eastAsia="仿宋" w:cs="仿宋"/>
          <w:spacing w:val="4"/>
          <w:sz w:val="28"/>
          <w:szCs w:val="28"/>
        </w:rPr>
        <w:t xml:space="preserve"> </w:t>
      </w:r>
      <w:r>
        <w:rPr>
          <w:rFonts w:ascii="仿宋" w:hAnsi="仿宋" w:eastAsia="仿宋" w:cs="仿宋"/>
          <w:spacing w:val="-10"/>
          <w:sz w:val="28"/>
          <w:szCs w:val="28"/>
        </w:rPr>
        <w:t>湖生态保护基金会相关工作具有查考、利用价值的文件、报告、函件、</w:t>
      </w:r>
      <w:r>
        <w:rPr>
          <w:rFonts w:ascii="仿宋" w:hAnsi="仿宋" w:eastAsia="仿宋" w:cs="仿宋"/>
          <w:spacing w:val="8"/>
          <w:sz w:val="28"/>
          <w:szCs w:val="28"/>
        </w:rPr>
        <w:t xml:space="preserve"> </w:t>
      </w:r>
      <w:r>
        <w:rPr>
          <w:rFonts w:ascii="仿宋" w:hAnsi="仿宋" w:eastAsia="仿宋" w:cs="仿宋"/>
          <w:spacing w:val="-2"/>
          <w:sz w:val="28"/>
          <w:szCs w:val="28"/>
        </w:rPr>
        <w:t>表格、纪要、合同、图纸、声像、实物等不同载体形式的历史记录。</w:t>
      </w:r>
    </w:p>
    <w:p w14:paraId="0119FF68">
      <w:pPr>
        <w:spacing w:line="257" w:lineRule="auto"/>
        <w:rPr>
          <w:rFonts w:ascii="Arial"/>
          <w:sz w:val="21"/>
        </w:rPr>
      </w:pPr>
    </w:p>
    <w:p w14:paraId="3DE1100E">
      <w:pPr>
        <w:spacing w:line="257" w:lineRule="auto"/>
        <w:rPr>
          <w:rFonts w:ascii="Arial"/>
          <w:sz w:val="21"/>
        </w:rPr>
      </w:pPr>
    </w:p>
    <w:p w14:paraId="167D5F74">
      <w:pPr>
        <w:spacing w:before="91" w:line="354" w:lineRule="auto"/>
        <w:ind w:left="42" w:right="101" w:firstLine="561"/>
        <w:rPr>
          <w:rFonts w:ascii="仿宋" w:hAnsi="仿宋" w:eastAsia="仿宋" w:cs="仿宋"/>
          <w:sz w:val="28"/>
          <w:szCs w:val="28"/>
        </w:rPr>
      </w:pPr>
      <w:r>
        <w:rPr>
          <w:rFonts w:ascii="仿宋" w:hAnsi="仿宋" w:eastAsia="仿宋" w:cs="仿宋"/>
          <w:b/>
          <w:bCs/>
          <w:spacing w:val="-2"/>
          <w:sz w:val="28"/>
          <w:szCs w:val="28"/>
        </w:rPr>
        <w:t>第一百六十二条</w:t>
      </w:r>
      <w:r>
        <w:rPr>
          <w:rFonts w:ascii="仿宋" w:hAnsi="仿宋" w:eastAsia="仿宋" w:cs="仿宋"/>
          <w:spacing w:val="49"/>
          <w:sz w:val="28"/>
          <w:szCs w:val="28"/>
        </w:rPr>
        <w:t xml:space="preserve"> </w:t>
      </w:r>
      <w:r>
        <w:rPr>
          <w:rFonts w:ascii="仿宋" w:hAnsi="仿宋" w:eastAsia="仿宋" w:cs="仿宋"/>
          <w:spacing w:val="-2"/>
          <w:sz w:val="28"/>
          <w:szCs w:val="28"/>
        </w:rPr>
        <w:t>归档的文件材料必须按类别立卷，以时间先后</w:t>
      </w:r>
      <w:r>
        <w:rPr>
          <w:rFonts w:ascii="仿宋" w:hAnsi="仿宋" w:eastAsia="仿宋" w:cs="仿宋"/>
          <w:sz w:val="28"/>
          <w:szCs w:val="28"/>
        </w:rPr>
        <w:t xml:space="preserve"> </w:t>
      </w:r>
      <w:r>
        <w:rPr>
          <w:rFonts w:ascii="仿宋" w:hAnsi="仿宋" w:eastAsia="仿宋" w:cs="仿宋"/>
          <w:spacing w:val="-8"/>
          <w:sz w:val="28"/>
          <w:szCs w:val="28"/>
        </w:rPr>
        <w:t>为线索。</w:t>
      </w:r>
    </w:p>
    <w:p w14:paraId="36ED1038">
      <w:pPr>
        <w:spacing w:before="43" w:line="359" w:lineRule="auto"/>
        <w:ind w:left="32" w:right="101" w:firstLine="571"/>
        <w:jc w:val="both"/>
        <w:rPr>
          <w:rFonts w:ascii="仿宋" w:hAnsi="仿宋" w:eastAsia="仿宋" w:cs="仿宋"/>
          <w:sz w:val="28"/>
          <w:szCs w:val="28"/>
        </w:rPr>
      </w:pPr>
      <w:r>
        <w:rPr>
          <w:rFonts w:ascii="仿宋" w:hAnsi="仿宋" w:eastAsia="仿宋" w:cs="仿宋"/>
          <w:b/>
          <w:bCs/>
          <w:sz w:val="28"/>
          <w:szCs w:val="28"/>
        </w:rPr>
        <w:t>第一百六十三条</w:t>
      </w:r>
      <w:r>
        <w:rPr>
          <w:rFonts w:ascii="仿宋" w:hAnsi="仿宋" w:eastAsia="仿宋" w:cs="仿宋"/>
          <w:sz w:val="28"/>
          <w:szCs w:val="28"/>
        </w:rPr>
        <w:t xml:space="preserve"> 承办部门或承办人员应保证经办文</w:t>
      </w:r>
      <w:r>
        <w:rPr>
          <w:rFonts w:ascii="仿宋" w:hAnsi="仿宋" w:eastAsia="仿宋" w:cs="仿宋"/>
          <w:spacing w:val="-1"/>
          <w:sz w:val="28"/>
          <w:szCs w:val="28"/>
        </w:rPr>
        <w:t>件的系统完</w:t>
      </w:r>
      <w:r>
        <w:rPr>
          <w:rFonts w:ascii="仿宋" w:hAnsi="仿宋" w:eastAsia="仿宋" w:cs="仿宋"/>
          <w:sz w:val="28"/>
          <w:szCs w:val="28"/>
        </w:rPr>
        <w:t xml:space="preserve"> </w:t>
      </w:r>
      <w:r>
        <w:rPr>
          <w:rFonts w:ascii="仿宋" w:hAnsi="仿宋" w:eastAsia="仿宋" w:cs="仿宋"/>
          <w:spacing w:val="-4"/>
          <w:sz w:val="28"/>
          <w:szCs w:val="28"/>
        </w:rPr>
        <w:t>整。结束后及时交业务责任人员归档。工作变动或因故离职时应将经</w:t>
      </w:r>
      <w:r>
        <w:rPr>
          <w:rFonts w:ascii="仿宋" w:hAnsi="仿宋" w:eastAsia="仿宋" w:cs="仿宋"/>
          <w:spacing w:val="6"/>
          <w:sz w:val="28"/>
          <w:szCs w:val="28"/>
        </w:rPr>
        <w:t xml:space="preserve"> </w:t>
      </w:r>
      <w:r>
        <w:rPr>
          <w:rFonts w:ascii="仿宋" w:hAnsi="仿宋" w:eastAsia="仿宋" w:cs="仿宋"/>
          <w:spacing w:val="-1"/>
          <w:sz w:val="28"/>
          <w:szCs w:val="28"/>
        </w:rPr>
        <w:t>办的文件材料向接办人员交接清楚，不得擅自带走或销毁。</w:t>
      </w:r>
    </w:p>
    <w:p w14:paraId="1290CF28">
      <w:pPr>
        <w:spacing w:before="48" w:line="354" w:lineRule="auto"/>
        <w:ind w:left="33" w:right="101" w:firstLine="570"/>
        <w:rPr>
          <w:rFonts w:ascii="仿宋" w:hAnsi="仿宋" w:eastAsia="仿宋" w:cs="仿宋"/>
          <w:sz w:val="28"/>
          <w:szCs w:val="28"/>
        </w:rPr>
      </w:pPr>
      <w:r>
        <w:rPr>
          <w:rFonts w:ascii="仿宋" w:hAnsi="仿宋" w:eastAsia="仿宋" w:cs="仿宋"/>
          <w:b/>
          <w:bCs/>
          <w:sz w:val="28"/>
          <w:szCs w:val="28"/>
        </w:rPr>
        <w:t>第一百六十四条</w:t>
      </w:r>
      <w:r>
        <w:rPr>
          <w:rFonts w:ascii="仿宋" w:hAnsi="仿宋" w:eastAsia="仿宋" w:cs="仿宋"/>
          <w:sz w:val="28"/>
          <w:szCs w:val="28"/>
        </w:rPr>
        <w:t xml:space="preserve"> 本办法的管辖范围不包括基金会党</w:t>
      </w:r>
      <w:r>
        <w:rPr>
          <w:rFonts w:ascii="仿宋" w:hAnsi="仿宋" w:eastAsia="仿宋" w:cs="仿宋"/>
          <w:spacing w:val="-1"/>
          <w:sz w:val="28"/>
          <w:szCs w:val="28"/>
        </w:rPr>
        <w:t>支部工作档</w:t>
      </w:r>
      <w:r>
        <w:rPr>
          <w:rFonts w:ascii="仿宋" w:hAnsi="仿宋" w:eastAsia="仿宋" w:cs="仿宋"/>
          <w:sz w:val="28"/>
          <w:szCs w:val="28"/>
        </w:rPr>
        <w:t xml:space="preserve"> </w:t>
      </w:r>
      <w:r>
        <w:rPr>
          <w:rFonts w:ascii="仿宋" w:hAnsi="仿宋" w:eastAsia="仿宋" w:cs="仿宋"/>
          <w:spacing w:val="-1"/>
          <w:sz w:val="28"/>
          <w:szCs w:val="28"/>
        </w:rPr>
        <w:t>案管理，党支部工作档案管理另行规定。</w:t>
      </w:r>
    </w:p>
    <w:p w14:paraId="67CE770E">
      <w:pPr>
        <w:spacing w:before="47" w:line="222" w:lineRule="auto"/>
        <w:ind w:left="2705"/>
        <w:rPr>
          <w:rFonts w:ascii="黑体" w:hAnsi="黑体" w:eastAsia="黑体" w:cs="黑体"/>
          <w:sz w:val="28"/>
          <w:szCs w:val="28"/>
        </w:rPr>
      </w:pPr>
      <w:r>
        <w:rPr>
          <w:rFonts w:ascii="黑体" w:hAnsi="黑体" w:eastAsia="黑体" w:cs="黑体"/>
          <w:b/>
          <w:bCs/>
          <w:spacing w:val="-4"/>
          <w:sz w:val="28"/>
          <w:szCs w:val="28"/>
        </w:rPr>
        <w:t>第五十一章</w:t>
      </w:r>
      <w:r>
        <w:rPr>
          <w:rFonts w:ascii="黑体" w:hAnsi="黑体" w:eastAsia="黑体" w:cs="黑体"/>
          <w:spacing w:val="-4"/>
          <w:sz w:val="28"/>
          <w:szCs w:val="28"/>
        </w:rPr>
        <w:t xml:space="preserve">  </w:t>
      </w:r>
      <w:r>
        <w:rPr>
          <w:rFonts w:ascii="黑体" w:hAnsi="黑体" w:eastAsia="黑体" w:cs="黑体"/>
          <w:b/>
          <w:bCs/>
          <w:spacing w:val="-4"/>
          <w:sz w:val="28"/>
          <w:szCs w:val="28"/>
        </w:rPr>
        <w:t>管理原则</w:t>
      </w:r>
    </w:p>
    <w:p w14:paraId="2C802E49">
      <w:pPr>
        <w:spacing w:before="221" w:line="355" w:lineRule="auto"/>
        <w:ind w:left="48" w:right="101" w:firstLine="555"/>
        <w:rPr>
          <w:rFonts w:ascii="仿宋" w:hAnsi="仿宋" w:eastAsia="仿宋" w:cs="仿宋"/>
          <w:sz w:val="28"/>
          <w:szCs w:val="28"/>
        </w:rPr>
      </w:pPr>
      <w:r>
        <w:rPr>
          <w:rFonts w:ascii="仿宋" w:hAnsi="仿宋" w:eastAsia="仿宋" w:cs="仿宋"/>
          <w:b/>
          <w:bCs/>
          <w:sz w:val="28"/>
          <w:szCs w:val="28"/>
        </w:rPr>
        <w:t>第一百六十五条</w:t>
      </w:r>
      <w:r>
        <w:rPr>
          <w:rFonts w:ascii="仿宋" w:hAnsi="仿宋" w:eastAsia="仿宋" w:cs="仿宋"/>
          <w:sz w:val="28"/>
          <w:szCs w:val="28"/>
        </w:rPr>
        <w:t xml:space="preserve"> 基金会应建立、健全立卷归档制度</w:t>
      </w:r>
      <w:r>
        <w:rPr>
          <w:rFonts w:ascii="仿宋" w:hAnsi="仿宋" w:eastAsia="仿宋" w:cs="仿宋"/>
          <w:spacing w:val="-1"/>
          <w:sz w:val="28"/>
          <w:szCs w:val="28"/>
        </w:rPr>
        <w:t>，确立归档</w:t>
      </w:r>
      <w:r>
        <w:rPr>
          <w:rFonts w:ascii="仿宋" w:hAnsi="仿宋" w:eastAsia="仿宋" w:cs="仿宋"/>
          <w:sz w:val="28"/>
          <w:szCs w:val="28"/>
        </w:rPr>
        <w:t xml:space="preserve"> </w:t>
      </w:r>
      <w:r>
        <w:rPr>
          <w:rFonts w:ascii="仿宋" w:hAnsi="仿宋" w:eastAsia="仿宋" w:cs="仿宋"/>
          <w:spacing w:val="-3"/>
          <w:sz w:val="28"/>
          <w:szCs w:val="28"/>
        </w:rPr>
        <w:t>范围、归档时间、保管期限。</w:t>
      </w:r>
    </w:p>
    <w:p w14:paraId="64D461B5">
      <w:pPr>
        <w:spacing w:before="44" w:line="353" w:lineRule="auto"/>
        <w:ind w:left="37" w:right="101" w:firstLine="566"/>
        <w:rPr>
          <w:rFonts w:ascii="仿宋" w:hAnsi="仿宋" w:eastAsia="仿宋" w:cs="仿宋"/>
          <w:sz w:val="28"/>
          <w:szCs w:val="28"/>
        </w:rPr>
      </w:pPr>
      <w:r>
        <w:rPr>
          <w:rFonts w:ascii="仿宋" w:hAnsi="仿宋" w:eastAsia="仿宋" w:cs="仿宋"/>
          <w:b/>
          <w:bCs/>
          <w:sz w:val="28"/>
          <w:szCs w:val="28"/>
        </w:rPr>
        <w:t>第一百六十六条</w:t>
      </w:r>
      <w:r>
        <w:rPr>
          <w:rFonts w:ascii="仿宋" w:hAnsi="仿宋" w:eastAsia="仿宋" w:cs="仿宋"/>
          <w:sz w:val="28"/>
          <w:szCs w:val="28"/>
        </w:rPr>
        <w:t xml:space="preserve"> 基金会档案工作实行业务负责制，</w:t>
      </w:r>
      <w:r>
        <w:rPr>
          <w:rFonts w:ascii="仿宋" w:hAnsi="仿宋" w:eastAsia="仿宋" w:cs="仿宋"/>
          <w:spacing w:val="-1"/>
          <w:sz w:val="28"/>
          <w:szCs w:val="28"/>
        </w:rPr>
        <w:t>具体业务工</w:t>
      </w:r>
      <w:r>
        <w:rPr>
          <w:rFonts w:ascii="仿宋" w:hAnsi="仿宋" w:eastAsia="仿宋" w:cs="仿宋"/>
          <w:sz w:val="28"/>
          <w:szCs w:val="28"/>
        </w:rPr>
        <w:t xml:space="preserve"> </w:t>
      </w:r>
      <w:r>
        <w:rPr>
          <w:rFonts w:ascii="仿宋" w:hAnsi="仿宋" w:eastAsia="仿宋" w:cs="仿宋"/>
          <w:spacing w:val="-4"/>
          <w:sz w:val="28"/>
          <w:szCs w:val="28"/>
        </w:rPr>
        <w:t>作人员是档案管理的第一责任人，所有业务活动均需建立档案进行管</w:t>
      </w:r>
    </w:p>
    <w:p w14:paraId="74C8F1E9">
      <w:pPr>
        <w:spacing w:line="353" w:lineRule="auto"/>
        <w:rPr>
          <w:rFonts w:ascii="仿宋" w:hAnsi="仿宋" w:eastAsia="仿宋" w:cs="仿宋"/>
          <w:sz w:val="28"/>
          <w:szCs w:val="28"/>
        </w:rPr>
        <w:sectPr>
          <w:pgSz w:w="11906" w:h="16839"/>
          <w:pgMar w:top="400" w:right="1698" w:bottom="400" w:left="1785" w:header="0" w:footer="850" w:gutter="0"/>
          <w:pgNumType w:fmt="decimal"/>
          <w:cols w:space="720" w:num="1"/>
        </w:sectPr>
      </w:pPr>
    </w:p>
    <w:p w14:paraId="6CFD002A">
      <w:pPr>
        <w:spacing w:line="287" w:lineRule="auto"/>
        <w:rPr>
          <w:rFonts w:ascii="Arial"/>
          <w:sz w:val="21"/>
        </w:rPr>
      </w:pPr>
    </w:p>
    <w:p w14:paraId="06D627A3">
      <w:pPr>
        <w:spacing w:line="287" w:lineRule="auto"/>
        <w:rPr>
          <w:rFonts w:ascii="Arial"/>
          <w:sz w:val="21"/>
        </w:rPr>
      </w:pPr>
    </w:p>
    <w:p w14:paraId="76885206">
      <w:pPr>
        <w:spacing w:line="288" w:lineRule="auto"/>
        <w:rPr>
          <w:rFonts w:ascii="Arial"/>
          <w:sz w:val="21"/>
        </w:rPr>
      </w:pPr>
    </w:p>
    <w:p w14:paraId="547BDE19">
      <w:pPr>
        <w:spacing w:line="288" w:lineRule="auto"/>
        <w:rPr>
          <w:rFonts w:ascii="Arial"/>
          <w:sz w:val="21"/>
        </w:rPr>
      </w:pPr>
    </w:p>
    <w:p w14:paraId="0AF52267">
      <w:pPr>
        <w:spacing w:before="91" w:line="222" w:lineRule="auto"/>
        <w:ind w:left="34"/>
        <w:rPr>
          <w:rFonts w:ascii="仿宋" w:hAnsi="仿宋" w:eastAsia="仿宋" w:cs="仿宋"/>
          <w:sz w:val="28"/>
          <w:szCs w:val="28"/>
        </w:rPr>
      </w:pPr>
      <w:r>
        <w:rPr>
          <w:rFonts w:ascii="仿宋" w:hAnsi="仿宋" w:eastAsia="仿宋" w:cs="仿宋"/>
          <w:spacing w:val="-1"/>
          <w:sz w:val="28"/>
          <w:szCs w:val="28"/>
        </w:rPr>
        <w:t>理；部门负责人是项目档案管理的领导者和监督者。</w:t>
      </w:r>
    </w:p>
    <w:p w14:paraId="17D769E5">
      <w:pPr>
        <w:spacing w:before="222" w:line="222" w:lineRule="auto"/>
        <w:ind w:left="2705"/>
        <w:rPr>
          <w:rFonts w:ascii="黑体" w:hAnsi="黑体" w:eastAsia="黑体" w:cs="黑体"/>
          <w:sz w:val="28"/>
          <w:szCs w:val="28"/>
        </w:rPr>
      </w:pPr>
      <w:r>
        <w:rPr>
          <w:rFonts w:ascii="黑体" w:hAnsi="黑体" w:eastAsia="黑体" w:cs="黑体"/>
          <w:b/>
          <w:bCs/>
          <w:spacing w:val="-4"/>
          <w:sz w:val="28"/>
          <w:szCs w:val="28"/>
        </w:rPr>
        <w:t>第五十二章</w:t>
      </w:r>
      <w:r>
        <w:rPr>
          <w:rFonts w:ascii="黑体" w:hAnsi="黑体" w:eastAsia="黑体" w:cs="黑体"/>
          <w:spacing w:val="-4"/>
          <w:sz w:val="28"/>
          <w:szCs w:val="28"/>
        </w:rPr>
        <w:t xml:space="preserve">  </w:t>
      </w:r>
      <w:r>
        <w:rPr>
          <w:rFonts w:ascii="黑体" w:hAnsi="黑体" w:eastAsia="黑体" w:cs="黑体"/>
          <w:b/>
          <w:bCs/>
          <w:spacing w:val="-4"/>
          <w:sz w:val="28"/>
          <w:szCs w:val="28"/>
        </w:rPr>
        <w:t>收集管理</w:t>
      </w:r>
    </w:p>
    <w:p w14:paraId="18920929">
      <w:pPr>
        <w:spacing w:before="223" w:line="354" w:lineRule="auto"/>
        <w:ind w:left="33" w:right="93" w:firstLine="570"/>
        <w:rPr>
          <w:rFonts w:ascii="仿宋" w:hAnsi="仿宋" w:eastAsia="仿宋" w:cs="仿宋"/>
          <w:sz w:val="28"/>
          <w:szCs w:val="28"/>
        </w:rPr>
      </w:pPr>
      <w:r>
        <w:rPr>
          <w:rFonts w:ascii="仿宋" w:hAnsi="仿宋" w:eastAsia="仿宋" w:cs="仿宋"/>
          <w:b/>
          <w:bCs/>
          <w:sz w:val="28"/>
          <w:szCs w:val="28"/>
        </w:rPr>
        <w:t>第一百六十七条</w:t>
      </w:r>
      <w:r>
        <w:rPr>
          <w:rFonts w:ascii="仿宋" w:hAnsi="仿宋" w:eastAsia="仿宋" w:cs="仿宋"/>
          <w:sz w:val="28"/>
          <w:szCs w:val="28"/>
        </w:rPr>
        <w:t xml:space="preserve"> 具体业务工作人员及时、完整归卷</w:t>
      </w:r>
      <w:r>
        <w:rPr>
          <w:rFonts w:ascii="仿宋" w:hAnsi="仿宋" w:eastAsia="仿宋" w:cs="仿宋"/>
          <w:spacing w:val="-1"/>
          <w:sz w:val="28"/>
          <w:szCs w:val="28"/>
        </w:rPr>
        <w:t>。各部门根</w:t>
      </w:r>
      <w:r>
        <w:rPr>
          <w:rFonts w:ascii="仿宋" w:hAnsi="仿宋" w:eastAsia="仿宋" w:cs="仿宋"/>
          <w:sz w:val="28"/>
          <w:szCs w:val="28"/>
        </w:rPr>
        <w:t xml:space="preserve"> </w:t>
      </w:r>
      <w:r>
        <w:rPr>
          <w:rFonts w:ascii="仿宋" w:hAnsi="仿宋" w:eastAsia="仿宋" w:cs="仿宋"/>
          <w:spacing w:val="-1"/>
          <w:sz w:val="28"/>
          <w:szCs w:val="28"/>
        </w:rPr>
        <w:t>据业务范围及工作任务，按需检查及整理档案。</w:t>
      </w:r>
    </w:p>
    <w:p w14:paraId="56CFD175">
      <w:pPr>
        <w:spacing w:before="47" w:line="353" w:lineRule="auto"/>
        <w:ind w:left="37" w:right="93" w:firstLine="566"/>
        <w:rPr>
          <w:rFonts w:ascii="仿宋" w:hAnsi="仿宋" w:eastAsia="仿宋" w:cs="仿宋"/>
          <w:sz w:val="28"/>
          <w:szCs w:val="28"/>
        </w:rPr>
      </w:pPr>
      <w:r>
        <w:rPr>
          <w:rFonts w:ascii="仿宋" w:hAnsi="仿宋" w:eastAsia="仿宋" w:cs="仿宋"/>
          <w:b/>
          <w:bCs/>
          <w:sz w:val="28"/>
          <w:szCs w:val="28"/>
        </w:rPr>
        <w:t>第一百六十八条</w:t>
      </w:r>
      <w:r>
        <w:rPr>
          <w:rFonts w:ascii="仿宋" w:hAnsi="仿宋" w:eastAsia="仿宋" w:cs="仿宋"/>
          <w:sz w:val="28"/>
          <w:szCs w:val="28"/>
        </w:rPr>
        <w:t xml:space="preserve"> 凡以基金会名义印发出的公文一律</w:t>
      </w:r>
      <w:r>
        <w:rPr>
          <w:rFonts w:ascii="仿宋" w:hAnsi="仿宋" w:eastAsia="仿宋" w:cs="仿宋"/>
          <w:spacing w:val="-1"/>
          <w:sz w:val="28"/>
          <w:szCs w:val="28"/>
        </w:rPr>
        <w:t>由行政部统</w:t>
      </w:r>
      <w:r>
        <w:rPr>
          <w:rFonts w:ascii="仿宋" w:hAnsi="仿宋" w:eastAsia="仿宋" w:cs="仿宋"/>
          <w:sz w:val="28"/>
          <w:szCs w:val="28"/>
        </w:rPr>
        <w:t xml:space="preserve"> </w:t>
      </w:r>
      <w:r>
        <w:rPr>
          <w:rFonts w:ascii="仿宋" w:hAnsi="仿宋" w:eastAsia="仿宋" w:cs="仿宋"/>
          <w:spacing w:val="-4"/>
          <w:sz w:val="28"/>
          <w:szCs w:val="28"/>
        </w:rPr>
        <w:t>一收集管理。</w:t>
      </w:r>
    </w:p>
    <w:p w14:paraId="61E4DD44">
      <w:pPr>
        <w:spacing w:before="47" w:line="353" w:lineRule="auto"/>
        <w:ind w:left="37" w:right="93" w:firstLine="566"/>
        <w:rPr>
          <w:rFonts w:ascii="仿宋" w:hAnsi="仿宋" w:eastAsia="仿宋" w:cs="仿宋"/>
          <w:sz w:val="28"/>
          <w:szCs w:val="28"/>
        </w:rPr>
      </w:pPr>
      <w:r>
        <w:rPr>
          <w:rFonts w:ascii="仿宋" w:hAnsi="仿宋" w:eastAsia="仿宋" w:cs="仿宋"/>
          <w:b/>
          <w:bCs/>
          <w:sz w:val="28"/>
          <w:szCs w:val="28"/>
        </w:rPr>
        <w:t>第一百六十九条</w:t>
      </w:r>
      <w:r>
        <w:rPr>
          <w:rFonts w:ascii="仿宋" w:hAnsi="仿宋" w:eastAsia="仿宋" w:cs="仿宋"/>
          <w:sz w:val="28"/>
          <w:szCs w:val="28"/>
        </w:rPr>
        <w:t xml:space="preserve"> 一项工作由不同业务工作人员参与</w:t>
      </w:r>
      <w:r>
        <w:rPr>
          <w:rFonts w:ascii="仿宋" w:hAnsi="仿宋" w:eastAsia="仿宋" w:cs="仿宋"/>
          <w:spacing w:val="-1"/>
          <w:sz w:val="28"/>
          <w:szCs w:val="28"/>
        </w:rPr>
        <w:t>办理，在工</w:t>
      </w:r>
      <w:r>
        <w:rPr>
          <w:rFonts w:ascii="仿宋" w:hAnsi="仿宋" w:eastAsia="仿宋" w:cs="仿宋"/>
          <w:sz w:val="28"/>
          <w:szCs w:val="28"/>
        </w:rPr>
        <w:t xml:space="preserve"> </w:t>
      </w:r>
      <w:r>
        <w:rPr>
          <w:rFonts w:ascii="仿宋" w:hAnsi="仿宋" w:eastAsia="仿宋" w:cs="仿宋"/>
          <w:spacing w:val="-1"/>
          <w:sz w:val="28"/>
          <w:szCs w:val="28"/>
        </w:rPr>
        <w:t>作活动中形成的文件材料，由主办业务工作人员收集归卷。</w:t>
      </w:r>
    </w:p>
    <w:p w14:paraId="535AA093">
      <w:pPr>
        <w:spacing w:before="48" w:line="356" w:lineRule="auto"/>
        <w:ind w:left="603" w:right="2916" w:firstLine="2101"/>
        <w:rPr>
          <w:rFonts w:ascii="仿宋" w:hAnsi="仿宋" w:eastAsia="仿宋" w:cs="仿宋"/>
          <w:sz w:val="28"/>
          <w:szCs w:val="28"/>
        </w:rPr>
      </w:pPr>
      <w:r>
        <w:rPr>
          <w:rFonts w:ascii="黑体" w:hAnsi="黑体" w:eastAsia="黑体" w:cs="黑体"/>
          <w:b/>
          <w:bCs/>
          <w:spacing w:val="-4"/>
          <w:sz w:val="28"/>
          <w:szCs w:val="28"/>
        </w:rPr>
        <w:t>第五十三章</w:t>
      </w:r>
      <w:r>
        <w:rPr>
          <w:rFonts w:ascii="黑体" w:hAnsi="黑体" w:eastAsia="黑体" w:cs="黑体"/>
          <w:spacing w:val="-4"/>
          <w:sz w:val="28"/>
          <w:szCs w:val="28"/>
        </w:rPr>
        <w:t xml:space="preserve">  </w:t>
      </w:r>
      <w:r>
        <w:rPr>
          <w:rFonts w:ascii="黑体" w:hAnsi="黑体" w:eastAsia="黑体" w:cs="黑体"/>
          <w:b/>
          <w:bCs/>
          <w:spacing w:val="-4"/>
          <w:sz w:val="28"/>
          <w:szCs w:val="28"/>
        </w:rPr>
        <w:t>归档范围</w:t>
      </w:r>
      <w:r>
        <w:rPr>
          <w:rFonts w:ascii="黑体" w:hAnsi="黑体" w:eastAsia="黑体" w:cs="黑体"/>
          <w:spacing w:val="8"/>
          <w:sz w:val="28"/>
          <w:szCs w:val="28"/>
        </w:rPr>
        <w:t xml:space="preserve"> </w:t>
      </w:r>
      <w:r>
        <w:rPr>
          <w:rFonts w:ascii="仿宋" w:hAnsi="仿宋" w:eastAsia="仿宋" w:cs="仿宋"/>
          <w:b/>
          <w:bCs/>
          <w:spacing w:val="-4"/>
          <w:sz w:val="28"/>
          <w:szCs w:val="28"/>
        </w:rPr>
        <w:t>第一百七十条</w:t>
      </w:r>
      <w:r>
        <w:rPr>
          <w:rFonts w:ascii="仿宋" w:hAnsi="仿宋" w:eastAsia="仿宋" w:cs="仿宋"/>
          <w:spacing w:val="-4"/>
          <w:sz w:val="28"/>
          <w:szCs w:val="28"/>
        </w:rPr>
        <w:t xml:space="preserve"> </w:t>
      </w:r>
      <w:r>
        <w:rPr>
          <w:rFonts w:ascii="仿宋" w:hAnsi="仿宋" w:eastAsia="仿宋" w:cs="仿宋"/>
          <w:b/>
          <w:bCs/>
          <w:spacing w:val="-4"/>
          <w:sz w:val="28"/>
          <w:szCs w:val="28"/>
        </w:rPr>
        <w:t>治理和行政档案：</w:t>
      </w:r>
    </w:p>
    <w:p w14:paraId="4982FCAF">
      <w:pPr>
        <w:spacing w:before="42" w:line="332" w:lineRule="auto"/>
        <w:ind w:left="31" w:right="93" w:firstLine="572"/>
        <w:rPr>
          <w:rFonts w:ascii="仿宋" w:hAnsi="仿宋" w:eastAsia="仿宋" w:cs="仿宋"/>
          <w:sz w:val="28"/>
          <w:szCs w:val="28"/>
        </w:rPr>
      </w:pPr>
      <w:r>
        <w:rPr>
          <w:rFonts w:ascii="仿宋" w:hAnsi="仿宋" w:eastAsia="仿宋" w:cs="仿宋"/>
          <w:sz w:val="28"/>
          <w:szCs w:val="28"/>
        </w:rPr>
        <w:t>1．治理档案，包括理事监事基本信息、备案信息、理事会会议</w:t>
      </w:r>
      <w:r>
        <w:rPr>
          <w:rFonts w:ascii="仿宋" w:hAnsi="仿宋" w:eastAsia="仿宋" w:cs="仿宋"/>
          <w:spacing w:val="15"/>
          <w:sz w:val="28"/>
          <w:szCs w:val="28"/>
        </w:rPr>
        <w:t xml:space="preserve"> </w:t>
      </w:r>
      <w:r>
        <w:rPr>
          <w:rFonts w:ascii="仿宋" w:hAnsi="仿宋" w:eastAsia="仿宋" w:cs="仿宋"/>
          <w:spacing w:val="-4"/>
          <w:sz w:val="28"/>
          <w:szCs w:val="28"/>
        </w:rPr>
        <w:t>文件（会议通知、议程及所需资料、决议、理事审议意见统计表、授</w:t>
      </w:r>
      <w:r>
        <w:rPr>
          <w:rFonts w:ascii="仿宋" w:hAnsi="仿宋" w:eastAsia="仿宋" w:cs="仿宋"/>
          <w:spacing w:val="7"/>
          <w:sz w:val="28"/>
          <w:szCs w:val="28"/>
        </w:rPr>
        <w:t xml:space="preserve"> </w:t>
      </w:r>
      <w:r>
        <w:rPr>
          <w:rFonts w:ascii="仿宋" w:hAnsi="仿宋" w:eastAsia="仿宋" w:cs="仿宋"/>
          <w:spacing w:val="-4"/>
          <w:sz w:val="28"/>
          <w:szCs w:val="28"/>
        </w:rPr>
        <w:t>权委托书、会议纪要、记录等）、季度报告、监事履职记录、离任审</w:t>
      </w:r>
      <w:r>
        <w:rPr>
          <w:rFonts w:ascii="仿宋" w:hAnsi="仿宋" w:eastAsia="仿宋" w:cs="仿宋"/>
          <w:spacing w:val="7"/>
          <w:sz w:val="28"/>
          <w:szCs w:val="28"/>
        </w:rPr>
        <w:t xml:space="preserve"> </w:t>
      </w:r>
      <w:r>
        <w:rPr>
          <w:rFonts w:ascii="仿宋" w:hAnsi="仿宋" w:eastAsia="仿宋" w:cs="仿宋"/>
          <w:spacing w:val="-1"/>
          <w:sz w:val="28"/>
          <w:szCs w:val="28"/>
        </w:rPr>
        <w:t>计、理事监事参与活动资料、专业委员会制度和运作资料等</w:t>
      </w:r>
      <w:r>
        <w:rPr>
          <w:rFonts w:ascii="仿宋" w:hAnsi="仿宋" w:eastAsia="仿宋" w:cs="仿宋"/>
          <w:spacing w:val="3"/>
          <w:sz w:val="28"/>
          <w:szCs w:val="28"/>
        </w:rPr>
        <w:t>）；</w:t>
      </w:r>
    </w:p>
    <w:p w14:paraId="4BBF5F51">
      <w:pPr>
        <w:spacing w:before="223" w:line="321" w:lineRule="auto"/>
        <w:ind w:left="32" w:right="93" w:firstLine="553"/>
        <w:rPr>
          <w:rFonts w:ascii="仿宋" w:hAnsi="仿宋" w:eastAsia="仿宋" w:cs="仿宋"/>
          <w:sz w:val="28"/>
          <w:szCs w:val="28"/>
        </w:rPr>
      </w:pPr>
      <w:r>
        <w:rPr>
          <w:rFonts w:ascii="仿宋" w:hAnsi="仿宋" w:eastAsia="仿宋" w:cs="仿宋"/>
          <w:spacing w:val="1"/>
          <w:sz w:val="28"/>
          <w:szCs w:val="28"/>
        </w:rPr>
        <w:t>2．往来文件，包括青海湖生态保护基金会与业务主管部门及其</w:t>
      </w:r>
      <w:r>
        <w:rPr>
          <w:rFonts w:ascii="仿宋" w:hAnsi="仿宋" w:eastAsia="仿宋" w:cs="仿宋"/>
          <w:spacing w:val="5"/>
          <w:sz w:val="28"/>
          <w:szCs w:val="28"/>
        </w:rPr>
        <w:t xml:space="preserve"> </w:t>
      </w:r>
      <w:r>
        <w:rPr>
          <w:rFonts w:ascii="仿宋" w:hAnsi="仿宋" w:eastAsia="仿宋" w:cs="仿宋"/>
          <w:spacing w:val="-4"/>
          <w:sz w:val="28"/>
          <w:szCs w:val="28"/>
        </w:rPr>
        <w:t>他外部单位形成的各种往来请示、报告、函复等文件，外单位重要来</w:t>
      </w:r>
      <w:r>
        <w:rPr>
          <w:rFonts w:ascii="仿宋" w:hAnsi="仿宋" w:eastAsia="仿宋" w:cs="仿宋"/>
          <w:spacing w:val="7"/>
          <w:sz w:val="28"/>
          <w:szCs w:val="28"/>
        </w:rPr>
        <w:t xml:space="preserve"> </w:t>
      </w:r>
      <w:r>
        <w:rPr>
          <w:rFonts w:ascii="仿宋" w:hAnsi="仿宋" w:eastAsia="仿宋" w:cs="仿宋"/>
          <w:spacing w:val="-9"/>
          <w:sz w:val="28"/>
          <w:szCs w:val="28"/>
        </w:rPr>
        <w:t>文；</w:t>
      </w:r>
    </w:p>
    <w:p w14:paraId="77FA01AB">
      <w:pPr>
        <w:spacing w:before="222" w:line="354" w:lineRule="auto"/>
        <w:ind w:left="39" w:right="93" w:firstLine="549"/>
        <w:rPr>
          <w:rFonts w:ascii="仿宋" w:hAnsi="仿宋" w:eastAsia="仿宋" w:cs="仿宋"/>
          <w:sz w:val="28"/>
          <w:szCs w:val="28"/>
        </w:rPr>
      </w:pPr>
      <w:r>
        <w:rPr>
          <w:rFonts w:ascii="仿宋" w:hAnsi="仿宋" w:eastAsia="仿宋" w:cs="仿宋"/>
          <w:spacing w:val="-4"/>
          <w:sz w:val="28"/>
          <w:szCs w:val="28"/>
        </w:rPr>
        <w:t>3.捐赠管理（适用于第三方捐赠基金会</w:t>
      </w:r>
      <w:r>
        <w:rPr>
          <w:rFonts w:ascii="仿宋" w:hAnsi="仿宋" w:eastAsia="仿宋" w:cs="仿宋"/>
          <w:spacing w:val="-1"/>
          <w:sz w:val="28"/>
          <w:szCs w:val="28"/>
        </w:rPr>
        <w:t>），</w:t>
      </w:r>
      <w:r>
        <w:rPr>
          <w:rFonts w:ascii="仿宋" w:hAnsi="仿宋" w:eastAsia="仿宋" w:cs="仿宋"/>
          <w:spacing w:val="-4"/>
          <w:sz w:val="28"/>
          <w:szCs w:val="28"/>
        </w:rPr>
        <w:t>包括捐赠协议、捐赠</w:t>
      </w:r>
      <w:r>
        <w:rPr>
          <w:rFonts w:ascii="仿宋" w:hAnsi="仿宋" w:eastAsia="仿宋" w:cs="仿宋"/>
          <w:sz w:val="28"/>
          <w:szCs w:val="28"/>
        </w:rPr>
        <w:t xml:space="preserve"> </w:t>
      </w:r>
      <w:r>
        <w:rPr>
          <w:rFonts w:ascii="仿宋" w:hAnsi="仿宋" w:eastAsia="仿宋" w:cs="仿宋"/>
          <w:spacing w:val="-1"/>
          <w:sz w:val="28"/>
          <w:szCs w:val="28"/>
        </w:rPr>
        <w:t>方信息、捐赠分析/ 评估报告（如适用）</w:t>
      </w:r>
      <w:r>
        <w:rPr>
          <w:rFonts w:ascii="仿宋" w:hAnsi="仿宋" w:eastAsia="仿宋" w:cs="仿宋"/>
          <w:spacing w:val="-2"/>
          <w:sz w:val="28"/>
          <w:szCs w:val="28"/>
        </w:rPr>
        <w:t>等资料；</w:t>
      </w:r>
    </w:p>
    <w:p w14:paraId="2787A628">
      <w:pPr>
        <w:spacing w:before="45" w:line="359" w:lineRule="auto"/>
        <w:ind w:left="33" w:firstLine="548"/>
        <w:rPr>
          <w:rFonts w:ascii="仿宋" w:hAnsi="仿宋" w:eastAsia="仿宋" w:cs="仿宋"/>
          <w:sz w:val="28"/>
          <w:szCs w:val="28"/>
        </w:rPr>
      </w:pPr>
      <w:r>
        <w:rPr>
          <w:rFonts w:ascii="仿宋" w:hAnsi="仿宋" w:eastAsia="仿宋" w:cs="仿宋"/>
          <w:spacing w:val="-10"/>
          <w:sz w:val="28"/>
          <w:szCs w:val="28"/>
        </w:rPr>
        <w:t>4.人力资源管理，包括制度规定、组织沿革、基金会领导人信息、</w:t>
      </w:r>
      <w:r>
        <w:rPr>
          <w:rFonts w:ascii="仿宋" w:hAnsi="仿宋" w:eastAsia="仿宋" w:cs="仿宋"/>
          <w:spacing w:val="11"/>
          <w:sz w:val="28"/>
          <w:szCs w:val="28"/>
        </w:rPr>
        <w:t xml:space="preserve"> </w:t>
      </w:r>
      <w:r>
        <w:rPr>
          <w:rFonts w:ascii="仿宋" w:hAnsi="仿宋" w:eastAsia="仿宋" w:cs="仿宋"/>
          <w:spacing w:val="-4"/>
          <w:sz w:val="28"/>
          <w:szCs w:val="28"/>
        </w:rPr>
        <w:t>员工名册、人事简历、录用通知函、人事合同协议、入职登记表、岗</w:t>
      </w:r>
      <w:r>
        <w:rPr>
          <w:rFonts w:ascii="仿宋" w:hAnsi="仿宋" w:eastAsia="仿宋" w:cs="仿宋"/>
          <w:spacing w:val="5"/>
          <w:sz w:val="28"/>
          <w:szCs w:val="28"/>
        </w:rPr>
        <w:t xml:space="preserve"> </w:t>
      </w:r>
      <w:r>
        <w:rPr>
          <w:rFonts w:ascii="仿宋" w:hAnsi="仿宋" w:eastAsia="仿宋" w:cs="仿宋"/>
          <w:spacing w:val="-1"/>
          <w:sz w:val="28"/>
          <w:szCs w:val="28"/>
        </w:rPr>
        <w:t>位职责描述、述职报告、团建、培训、统计等资料；</w:t>
      </w:r>
    </w:p>
    <w:p w14:paraId="2D90028F">
      <w:pPr>
        <w:spacing w:before="47" w:line="353" w:lineRule="auto"/>
        <w:ind w:left="33" w:right="93" w:firstLine="554"/>
        <w:rPr>
          <w:rFonts w:ascii="仿宋" w:hAnsi="仿宋" w:eastAsia="仿宋" w:cs="仿宋"/>
          <w:sz w:val="28"/>
          <w:szCs w:val="28"/>
        </w:rPr>
      </w:pPr>
      <w:r>
        <w:rPr>
          <w:rFonts w:ascii="仿宋" w:hAnsi="仿宋" w:eastAsia="仿宋" w:cs="仿宋"/>
          <w:spacing w:val="1"/>
          <w:sz w:val="28"/>
          <w:szCs w:val="28"/>
        </w:rPr>
        <w:t>5．行政管理，包括基金会及各部门合同（项目协议和人事合同</w:t>
      </w:r>
      <w:r>
        <w:rPr>
          <w:rFonts w:ascii="仿宋" w:hAnsi="仿宋" w:eastAsia="仿宋" w:cs="仿宋"/>
          <w:spacing w:val="2"/>
          <w:sz w:val="28"/>
          <w:szCs w:val="28"/>
        </w:rPr>
        <w:t xml:space="preserve"> </w:t>
      </w:r>
      <w:r>
        <w:rPr>
          <w:rFonts w:ascii="仿宋" w:hAnsi="仿宋" w:eastAsia="仿宋" w:cs="仿宋"/>
          <w:spacing w:val="1"/>
          <w:sz w:val="28"/>
          <w:szCs w:val="28"/>
        </w:rPr>
        <w:t>协议除外）、律师审核记录、用印审批、用证使用审批</w:t>
      </w:r>
      <w:r>
        <w:rPr>
          <w:rFonts w:ascii="仿宋" w:hAnsi="仿宋" w:eastAsia="仿宋" w:cs="仿宋"/>
          <w:sz w:val="28"/>
          <w:szCs w:val="28"/>
        </w:rPr>
        <w:t>，年检报告/</w:t>
      </w:r>
    </w:p>
    <w:p w14:paraId="01AC5E5E">
      <w:pPr>
        <w:spacing w:line="353" w:lineRule="auto"/>
        <w:rPr>
          <w:rFonts w:ascii="仿宋" w:hAnsi="仿宋" w:eastAsia="仿宋" w:cs="仿宋"/>
          <w:sz w:val="28"/>
          <w:szCs w:val="28"/>
        </w:rPr>
        <w:sectPr>
          <w:pgSz w:w="11906" w:h="16839"/>
          <w:pgMar w:top="400" w:right="1705" w:bottom="400" w:left="1785" w:header="0" w:footer="850" w:gutter="0"/>
          <w:pgNumType w:fmt="decimal"/>
          <w:cols w:space="720" w:num="1"/>
        </w:sectPr>
      </w:pPr>
    </w:p>
    <w:p w14:paraId="63A45DDB">
      <w:pPr>
        <w:spacing w:line="287" w:lineRule="auto"/>
        <w:rPr>
          <w:rFonts w:ascii="Arial"/>
          <w:sz w:val="21"/>
        </w:rPr>
      </w:pPr>
    </w:p>
    <w:p w14:paraId="1D2985CB">
      <w:pPr>
        <w:spacing w:line="287" w:lineRule="auto"/>
        <w:rPr>
          <w:rFonts w:ascii="Arial"/>
          <w:sz w:val="21"/>
        </w:rPr>
      </w:pPr>
    </w:p>
    <w:p w14:paraId="4CC72338">
      <w:pPr>
        <w:spacing w:line="288" w:lineRule="auto"/>
        <w:rPr>
          <w:rFonts w:ascii="Arial"/>
          <w:sz w:val="21"/>
        </w:rPr>
      </w:pPr>
    </w:p>
    <w:p w14:paraId="2A5D6340">
      <w:pPr>
        <w:spacing w:line="288" w:lineRule="auto"/>
        <w:rPr>
          <w:rFonts w:ascii="Arial"/>
          <w:sz w:val="21"/>
        </w:rPr>
      </w:pPr>
    </w:p>
    <w:p w14:paraId="4DB7EB7E">
      <w:pPr>
        <w:spacing w:before="91" w:line="221" w:lineRule="auto"/>
        <w:ind w:left="38"/>
        <w:rPr>
          <w:rFonts w:ascii="仿宋" w:hAnsi="仿宋" w:eastAsia="仿宋" w:cs="仿宋"/>
          <w:sz w:val="28"/>
          <w:szCs w:val="28"/>
        </w:rPr>
      </w:pPr>
      <w:r>
        <w:rPr>
          <w:rFonts w:ascii="仿宋" w:hAnsi="仿宋" w:eastAsia="仿宋" w:cs="仿宋"/>
          <w:spacing w:val="-2"/>
          <w:sz w:val="28"/>
          <w:szCs w:val="28"/>
        </w:rPr>
        <w:t>年度工作报告等信息资料；</w:t>
      </w:r>
    </w:p>
    <w:p w14:paraId="12F39BF7">
      <w:pPr>
        <w:spacing w:before="222" w:line="360" w:lineRule="auto"/>
        <w:ind w:left="37" w:right="32" w:firstLine="548"/>
        <w:rPr>
          <w:rFonts w:ascii="仿宋" w:hAnsi="仿宋" w:eastAsia="仿宋" w:cs="仿宋"/>
          <w:sz w:val="28"/>
          <w:szCs w:val="28"/>
        </w:rPr>
      </w:pPr>
      <w:r>
        <w:rPr>
          <w:rFonts w:ascii="仿宋" w:hAnsi="仿宋" w:eastAsia="仿宋" w:cs="仿宋"/>
          <w:sz w:val="28"/>
          <w:szCs w:val="28"/>
        </w:rPr>
        <w:t>6．合同协议（适用于采购第三方服务事项</w:t>
      </w:r>
      <w:r>
        <w:rPr>
          <w:rFonts w:ascii="仿宋" w:hAnsi="仿宋" w:eastAsia="仿宋" w:cs="仿宋"/>
          <w:spacing w:val="18"/>
          <w:sz w:val="28"/>
          <w:szCs w:val="28"/>
        </w:rPr>
        <w:t>），</w:t>
      </w:r>
      <w:r>
        <w:rPr>
          <w:rFonts w:ascii="仿宋" w:hAnsi="仿宋" w:eastAsia="仿宋" w:cs="仿宋"/>
          <w:sz w:val="28"/>
          <w:szCs w:val="28"/>
        </w:rPr>
        <w:t>包括基金会</w:t>
      </w:r>
      <w:r>
        <w:rPr>
          <w:rFonts w:ascii="仿宋" w:hAnsi="仿宋" w:eastAsia="仿宋" w:cs="仿宋"/>
          <w:spacing w:val="-1"/>
          <w:sz w:val="28"/>
          <w:szCs w:val="28"/>
        </w:rPr>
        <w:t>与合</w:t>
      </w:r>
      <w:r>
        <w:rPr>
          <w:rFonts w:ascii="仿宋" w:hAnsi="仿宋" w:eastAsia="仿宋" w:cs="仿宋"/>
          <w:sz w:val="28"/>
          <w:szCs w:val="28"/>
        </w:rPr>
        <w:t xml:space="preserve"> </w:t>
      </w:r>
      <w:r>
        <w:rPr>
          <w:rFonts w:ascii="仿宋" w:hAnsi="仿宋" w:eastAsia="仿宋" w:cs="仿宋"/>
          <w:spacing w:val="-2"/>
          <w:sz w:val="28"/>
          <w:szCs w:val="28"/>
        </w:rPr>
        <w:t>作单位或个人签订的关于合作、委托、承办、</w:t>
      </w:r>
      <w:r>
        <w:rPr>
          <w:rFonts w:ascii="仿宋" w:hAnsi="仿宋" w:eastAsia="仿宋" w:cs="仿宋"/>
          <w:spacing w:val="-3"/>
          <w:sz w:val="28"/>
          <w:szCs w:val="28"/>
        </w:rPr>
        <w:t>咨询等事项的协议书、</w:t>
      </w:r>
      <w:r>
        <w:rPr>
          <w:rFonts w:ascii="仿宋" w:hAnsi="仿宋" w:eastAsia="仿宋" w:cs="仿宋"/>
          <w:sz w:val="28"/>
          <w:szCs w:val="28"/>
        </w:rPr>
        <w:t xml:space="preserve"> </w:t>
      </w:r>
      <w:r>
        <w:rPr>
          <w:rFonts w:ascii="仿宋" w:hAnsi="仿宋" w:eastAsia="仿宋" w:cs="仿宋"/>
          <w:spacing w:val="-5"/>
          <w:sz w:val="28"/>
          <w:szCs w:val="28"/>
        </w:rPr>
        <w:t>合同书等；</w:t>
      </w:r>
    </w:p>
    <w:p w14:paraId="516640FD">
      <w:pPr>
        <w:spacing w:before="43" w:line="222" w:lineRule="auto"/>
        <w:ind w:left="589"/>
        <w:rPr>
          <w:rFonts w:ascii="仿宋" w:hAnsi="仿宋" w:eastAsia="仿宋" w:cs="仿宋"/>
          <w:sz w:val="28"/>
          <w:szCs w:val="28"/>
        </w:rPr>
      </w:pPr>
      <w:r>
        <w:rPr>
          <w:rFonts w:ascii="仿宋" w:hAnsi="仿宋" w:eastAsia="仿宋" w:cs="仿宋"/>
          <w:spacing w:val="-1"/>
          <w:sz w:val="28"/>
          <w:szCs w:val="28"/>
        </w:rPr>
        <w:t>7.基金会制订的各种文件、重要会议记录及通知；</w:t>
      </w:r>
    </w:p>
    <w:p w14:paraId="77DF7CFF">
      <w:pPr>
        <w:spacing w:before="223" w:line="355" w:lineRule="auto"/>
        <w:ind w:left="42" w:right="80" w:firstLine="541"/>
        <w:rPr>
          <w:rFonts w:ascii="仿宋" w:hAnsi="仿宋" w:eastAsia="仿宋" w:cs="仿宋"/>
          <w:sz w:val="28"/>
          <w:szCs w:val="28"/>
        </w:rPr>
      </w:pPr>
      <w:r>
        <w:rPr>
          <w:rFonts w:ascii="仿宋" w:hAnsi="仿宋" w:eastAsia="仿宋" w:cs="仿宋"/>
          <w:spacing w:val="-4"/>
          <w:sz w:val="28"/>
          <w:szCs w:val="28"/>
        </w:rPr>
        <w:t>8.基金会的历史沿革、大事记及反映重要活动的剪报、照片、录</w:t>
      </w:r>
      <w:r>
        <w:rPr>
          <w:rFonts w:ascii="仿宋" w:hAnsi="仿宋" w:eastAsia="仿宋" w:cs="仿宋"/>
          <w:spacing w:val="11"/>
          <w:sz w:val="28"/>
          <w:szCs w:val="28"/>
        </w:rPr>
        <w:t xml:space="preserve"> </w:t>
      </w:r>
      <w:r>
        <w:rPr>
          <w:rFonts w:ascii="仿宋" w:hAnsi="仿宋" w:eastAsia="仿宋" w:cs="仿宋"/>
          <w:spacing w:val="-5"/>
          <w:sz w:val="28"/>
          <w:szCs w:val="28"/>
        </w:rPr>
        <w:t>音、录像等；</w:t>
      </w:r>
    </w:p>
    <w:p w14:paraId="2BD50058">
      <w:pPr>
        <w:spacing w:before="42" w:line="353" w:lineRule="auto"/>
        <w:ind w:left="38" w:right="32" w:firstLine="545"/>
        <w:rPr>
          <w:rFonts w:ascii="仿宋" w:hAnsi="仿宋" w:eastAsia="仿宋" w:cs="仿宋"/>
          <w:sz w:val="28"/>
          <w:szCs w:val="28"/>
        </w:rPr>
      </w:pPr>
      <w:r>
        <w:rPr>
          <w:rFonts w:ascii="仿宋" w:hAnsi="仿宋" w:eastAsia="仿宋" w:cs="仿宋"/>
          <w:spacing w:val="-2"/>
          <w:sz w:val="28"/>
          <w:szCs w:val="28"/>
        </w:rPr>
        <w:t>9.基础信息（如登记证书、设立登记、变更、章程核准等批复、</w:t>
      </w:r>
      <w:r>
        <w:rPr>
          <w:rFonts w:ascii="仿宋" w:hAnsi="仿宋" w:eastAsia="仿宋" w:cs="仿宋"/>
          <w:spacing w:val="1"/>
          <w:sz w:val="28"/>
          <w:szCs w:val="28"/>
        </w:rPr>
        <w:t xml:space="preserve"> </w:t>
      </w:r>
      <w:r>
        <w:rPr>
          <w:rFonts w:ascii="仿宋" w:hAnsi="仿宋" w:eastAsia="仿宋" w:cs="仿宋"/>
          <w:spacing w:val="-5"/>
          <w:sz w:val="28"/>
          <w:szCs w:val="28"/>
        </w:rPr>
        <w:t>年检结果等</w:t>
      </w:r>
      <w:r>
        <w:rPr>
          <w:rFonts w:ascii="仿宋" w:hAnsi="仿宋" w:eastAsia="仿宋" w:cs="仿宋"/>
          <w:spacing w:val="-1"/>
          <w:sz w:val="28"/>
          <w:szCs w:val="28"/>
        </w:rPr>
        <w:t>）；</w:t>
      </w:r>
    </w:p>
    <w:p w14:paraId="316BB592">
      <w:pPr>
        <w:spacing w:before="50" w:line="221" w:lineRule="auto"/>
        <w:ind w:left="603"/>
        <w:rPr>
          <w:rFonts w:ascii="仿宋" w:hAnsi="仿宋" w:eastAsia="仿宋" w:cs="仿宋"/>
          <w:sz w:val="28"/>
          <w:szCs w:val="28"/>
        </w:rPr>
      </w:pPr>
      <w:r>
        <w:rPr>
          <w:rFonts w:ascii="仿宋" w:hAnsi="仿宋" w:eastAsia="仿宋" w:cs="仿宋"/>
          <w:spacing w:val="-3"/>
          <w:sz w:val="28"/>
          <w:szCs w:val="28"/>
        </w:rPr>
        <w:t>10.奖状奖励证明等资料。</w:t>
      </w:r>
    </w:p>
    <w:p w14:paraId="185B4264">
      <w:pPr>
        <w:spacing w:before="224" w:line="221" w:lineRule="auto"/>
        <w:ind w:left="603"/>
        <w:rPr>
          <w:rFonts w:ascii="仿宋" w:hAnsi="仿宋" w:eastAsia="仿宋" w:cs="仿宋"/>
          <w:sz w:val="28"/>
          <w:szCs w:val="28"/>
        </w:rPr>
      </w:pPr>
      <w:r>
        <w:rPr>
          <w:rFonts w:ascii="仿宋" w:hAnsi="仿宋" w:eastAsia="仿宋" w:cs="仿宋"/>
          <w:b/>
          <w:bCs/>
          <w:spacing w:val="-5"/>
          <w:sz w:val="28"/>
          <w:szCs w:val="28"/>
        </w:rPr>
        <w:t>第一百七十一条</w:t>
      </w:r>
      <w:r>
        <w:rPr>
          <w:rFonts w:ascii="仿宋" w:hAnsi="仿宋" w:eastAsia="仿宋" w:cs="仿宋"/>
          <w:spacing w:val="-5"/>
          <w:sz w:val="28"/>
          <w:szCs w:val="28"/>
        </w:rPr>
        <w:t xml:space="preserve"> </w:t>
      </w:r>
      <w:r>
        <w:rPr>
          <w:rFonts w:ascii="仿宋" w:hAnsi="仿宋" w:eastAsia="仿宋" w:cs="仿宋"/>
          <w:b/>
          <w:bCs/>
          <w:spacing w:val="-5"/>
          <w:sz w:val="28"/>
          <w:szCs w:val="28"/>
        </w:rPr>
        <w:t>项目档案：</w:t>
      </w:r>
    </w:p>
    <w:p w14:paraId="6EC87C47">
      <w:pPr>
        <w:spacing w:before="225" w:line="222" w:lineRule="auto"/>
        <w:ind w:left="603"/>
        <w:rPr>
          <w:rFonts w:ascii="仿宋" w:hAnsi="仿宋" w:eastAsia="仿宋" w:cs="仿宋"/>
          <w:sz w:val="28"/>
          <w:szCs w:val="28"/>
        </w:rPr>
      </w:pPr>
      <w:r>
        <w:rPr>
          <w:rFonts w:ascii="仿宋" w:hAnsi="仿宋" w:eastAsia="仿宋" w:cs="仿宋"/>
          <w:spacing w:val="-2"/>
          <w:sz w:val="28"/>
          <w:szCs w:val="28"/>
        </w:rPr>
        <w:t>1.项目概念书，包括项目概念书及相关纪要文件；</w:t>
      </w:r>
    </w:p>
    <w:p w14:paraId="73AB55CE">
      <w:pPr>
        <w:spacing w:before="225" w:line="222" w:lineRule="auto"/>
        <w:ind w:left="586"/>
        <w:rPr>
          <w:rFonts w:ascii="仿宋" w:hAnsi="仿宋" w:eastAsia="仿宋" w:cs="仿宋"/>
          <w:sz w:val="28"/>
          <w:szCs w:val="28"/>
        </w:rPr>
      </w:pPr>
      <w:r>
        <w:rPr>
          <w:rFonts w:ascii="仿宋" w:hAnsi="仿宋" w:eastAsia="仿宋" w:cs="仿宋"/>
          <w:spacing w:val="-1"/>
          <w:sz w:val="28"/>
          <w:szCs w:val="28"/>
        </w:rPr>
        <w:t>2.项目所属项目群计划：包括项目群计划书及其相关文件；</w:t>
      </w:r>
    </w:p>
    <w:p w14:paraId="14A0B7BD">
      <w:pPr>
        <w:spacing w:before="222" w:line="363" w:lineRule="auto"/>
        <w:ind w:left="28" w:right="32" w:firstLine="560"/>
        <w:rPr>
          <w:rFonts w:ascii="仿宋" w:hAnsi="仿宋" w:eastAsia="仿宋" w:cs="仿宋"/>
          <w:sz w:val="28"/>
          <w:szCs w:val="28"/>
        </w:rPr>
      </w:pPr>
      <w:r>
        <w:rPr>
          <w:rFonts w:ascii="仿宋" w:hAnsi="仿宋" w:eastAsia="仿宋" w:cs="仿宋"/>
          <w:spacing w:val="-8"/>
          <w:sz w:val="28"/>
          <w:szCs w:val="28"/>
        </w:rPr>
        <w:t>3.项目立项档案：包括（1）项目建议书</w:t>
      </w:r>
      <w:r>
        <w:rPr>
          <w:rFonts w:ascii="仿宋" w:hAnsi="仿宋" w:eastAsia="仿宋" w:cs="仿宋"/>
          <w:spacing w:val="-76"/>
          <w:sz w:val="28"/>
          <w:szCs w:val="28"/>
        </w:rPr>
        <w:t>；（</w:t>
      </w:r>
      <w:r>
        <w:rPr>
          <w:rFonts w:ascii="仿宋" w:hAnsi="仿宋" w:eastAsia="仿宋" w:cs="仿宋"/>
          <w:spacing w:val="-8"/>
          <w:sz w:val="28"/>
          <w:szCs w:val="28"/>
        </w:rPr>
        <w:t>2）项目</w:t>
      </w:r>
      <w:r>
        <w:rPr>
          <w:rFonts w:ascii="仿宋" w:hAnsi="仿宋" w:eastAsia="仿宋" w:cs="仿宋"/>
          <w:spacing w:val="-9"/>
          <w:sz w:val="28"/>
          <w:szCs w:val="28"/>
        </w:rPr>
        <w:t>逻辑框架（简</w:t>
      </w:r>
      <w:r>
        <w:rPr>
          <w:rFonts w:ascii="仿宋" w:hAnsi="仿宋" w:eastAsia="仿宋" w:cs="仿宋"/>
          <w:sz w:val="28"/>
          <w:szCs w:val="28"/>
        </w:rPr>
        <w:t xml:space="preserve"> </w:t>
      </w:r>
      <w:r>
        <w:rPr>
          <w:rFonts w:ascii="仿宋" w:hAnsi="仿宋" w:eastAsia="仿宋" w:cs="仿宋"/>
          <w:spacing w:val="2"/>
          <w:sz w:val="28"/>
          <w:szCs w:val="28"/>
        </w:rPr>
        <w:t>版项目书无此项）、计划预算、财务汇总及请款计划</w:t>
      </w:r>
      <w:r>
        <w:rPr>
          <w:rFonts w:ascii="仿宋" w:hAnsi="仿宋" w:eastAsia="仿宋" w:cs="仿宋"/>
          <w:spacing w:val="-13"/>
          <w:sz w:val="28"/>
          <w:szCs w:val="28"/>
        </w:rPr>
        <w:t>；（</w:t>
      </w:r>
      <w:r>
        <w:rPr>
          <w:rFonts w:ascii="仿宋" w:hAnsi="仿宋" w:eastAsia="仿宋" w:cs="仿宋"/>
          <w:spacing w:val="2"/>
          <w:sz w:val="28"/>
          <w:szCs w:val="28"/>
        </w:rPr>
        <w:t>3）项目立</w:t>
      </w:r>
      <w:r>
        <w:rPr>
          <w:rFonts w:ascii="仿宋" w:hAnsi="仿宋" w:eastAsia="仿宋" w:cs="仿宋"/>
          <w:spacing w:val="1"/>
          <w:sz w:val="28"/>
          <w:szCs w:val="28"/>
        </w:rPr>
        <w:t xml:space="preserve"> </w:t>
      </w:r>
      <w:r>
        <w:rPr>
          <w:rFonts w:ascii="仿宋" w:hAnsi="仿宋" w:eastAsia="仿宋" w:cs="仿宋"/>
          <w:spacing w:val="-2"/>
          <w:sz w:val="28"/>
          <w:szCs w:val="28"/>
        </w:rPr>
        <w:t>项审批流程单。首次合作伙伴提交的法人登记证书、机构组织架构、</w:t>
      </w:r>
      <w:r>
        <w:rPr>
          <w:rFonts w:ascii="仿宋" w:hAnsi="仿宋" w:eastAsia="仿宋" w:cs="仿宋"/>
          <w:sz w:val="28"/>
          <w:szCs w:val="28"/>
        </w:rPr>
        <w:t xml:space="preserve"> </w:t>
      </w:r>
      <w:r>
        <w:rPr>
          <w:rFonts w:ascii="仿宋" w:hAnsi="仿宋" w:eastAsia="仿宋" w:cs="仿宋"/>
          <w:spacing w:val="-4"/>
          <w:sz w:val="28"/>
          <w:szCs w:val="28"/>
        </w:rPr>
        <w:t>理事监事成员及简介、近两年审计报告、近两年年度报告及申请机构</w:t>
      </w:r>
      <w:r>
        <w:rPr>
          <w:rFonts w:ascii="仿宋" w:hAnsi="仿宋" w:eastAsia="仿宋" w:cs="仿宋"/>
          <w:spacing w:val="11"/>
          <w:sz w:val="28"/>
          <w:szCs w:val="28"/>
        </w:rPr>
        <w:t xml:space="preserve"> </w:t>
      </w:r>
      <w:r>
        <w:rPr>
          <w:rFonts w:ascii="仿宋" w:hAnsi="仿宋" w:eastAsia="仿宋" w:cs="仿宋"/>
          <w:spacing w:val="-2"/>
          <w:sz w:val="28"/>
          <w:szCs w:val="28"/>
        </w:rPr>
        <w:t>基本信息表等文件；</w:t>
      </w:r>
    </w:p>
    <w:p w14:paraId="158B8D6E">
      <w:pPr>
        <w:spacing w:before="47" w:line="359" w:lineRule="auto"/>
        <w:ind w:left="32" w:right="80" w:firstLine="549"/>
        <w:jc w:val="both"/>
        <w:rPr>
          <w:rFonts w:ascii="仿宋" w:hAnsi="仿宋" w:eastAsia="仿宋" w:cs="仿宋"/>
          <w:sz w:val="28"/>
          <w:szCs w:val="28"/>
        </w:rPr>
      </w:pPr>
      <w:r>
        <w:rPr>
          <w:rFonts w:ascii="仿宋" w:hAnsi="仿宋" w:eastAsia="仿宋" w:cs="仿宋"/>
          <w:spacing w:val="-1"/>
          <w:sz w:val="28"/>
          <w:szCs w:val="28"/>
        </w:rPr>
        <w:t>4.项目协议档案：包括（1）合作协议（签章扫描件</w:t>
      </w:r>
      <w:r>
        <w:rPr>
          <w:rFonts w:ascii="仿宋" w:hAnsi="仿宋" w:eastAsia="仿宋" w:cs="仿宋"/>
          <w:spacing w:val="-26"/>
          <w:sz w:val="28"/>
          <w:szCs w:val="28"/>
        </w:rPr>
        <w:t>）；（</w:t>
      </w:r>
      <w:r>
        <w:rPr>
          <w:rFonts w:ascii="仿宋" w:hAnsi="仿宋" w:eastAsia="仿宋" w:cs="仿宋"/>
          <w:spacing w:val="-1"/>
          <w:sz w:val="28"/>
          <w:szCs w:val="28"/>
        </w:rPr>
        <w:t>2）合</w:t>
      </w:r>
      <w:r>
        <w:rPr>
          <w:rFonts w:ascii="仿宋" w:hAnsi="仿宋" w:eastAsia="仿宋" w:cs="仿宋"/>
          <w:spacing w:val="2"/>
          <w:sz w:val="28"/>
          <w:szCs w:val="28"/>
        </w:rPr>
        <w:t xml:space="preserve"> </w:t>
      </w:r>
      <w:r>
        <w:rPr>
          <w:rFonts w:ascii="仿宋" w:hAnsi="仿宋" w:eastAsia="仿宋" w:cs="仿宋"/>
          <w:spacing w:val="-4"/>
          <w:sz w:val="28"/>
          <w:szCs w:val="28"/>
        </w:rPr>
        <w:t>同审批流程单；首次合作伙伴提交的收款账户资料证明文件（签章扫</w:t>
      </w:r>
      <w:r>
        <w:rPr>
          <w:rFonts w:ascii="仿宋" w:hAnsi="仿宋" w:eastAsia="仿宋" w:cs="仿宋"/>
          <w:spacing w:val="7"/>
          <w:sz w:val="28"/>
          <w:szCs w:val="28"/>
        </w:rPr>
        <w:t xml:space="preserve"> </w:t>
      </w:r>
      <w:r>
        <w:rPr>
          <w:rFonts w:ascii="仿宋" w:hAnsi="仿宋" w:eastAsia="仿宋" w:cs="仿宋"/>
          <w:spacing w:val="-9"/>
          <w:sz w:val="28"/>
          <w:szCs w:val="28"/>
        </w:rPr>
        <w:t>描件</w:t>
      </w:r>
      <w:r>
        <w:rPr>
          <w:rFonts w:ascii="仿宋" w:hAnsi="仿宋" w:eastAsia="仿宋" w:cs="仿宋"/>
          <w:spacing w:val="-1"/>
          <w:sz w:val="28"/>
          <w:szCs w:val="28"/>
        </w:rPr>
        <w:t>）；</w:t>
      </w:r>
    </w:p>
    <w:p w14:paraId="73A351C9">
      <w:pPr>
        <w:spacing w:before="47" w:line="354" w:lineRule="auto"/>
        <w:ind w:left="43" w:firstLine="545"/>
        <w:rPr>
          <w:rFonts w:ascii="仿宋" w:hAnsi="仿宋" w:eastAsia="仿宋" w:cs="仿宋"/>
          <w:sz w:val="28"/>
          <w:szCs w:val="28"/>
        </w:rPr>
      </w:pPr>
      <w:r>
        <w:rPr>
          <w:rFonts w:ascii="仿宋" w:hAnsi="仿宋" w:eastAsia="仿宋" w:cs="仿宋"/>
          <w:spacing w:val="-6"/>
          <w:sz w:val="28"/>
          <w:szCs w:val="28"/>
        </w:rPr>
        <w:t>5.项目阶段进展及资金拨付档案：包括（1）项目实施进展报告，</w:t>
      </w:r>
      <w:r>
        <w:rPr>
          <w:rFonts w:ascii="仿宋" w:hAnsi="仿宋" w:eastAsia="仿宋" w:cs="仿宋"/>
          <w:spacing w:val="11"/>
          <w:sz w:val="28"/>
          <w:szCs w:val="28"/>
        </w:rPr>
        <w:t xml:space="preserve"> </w:t>
      </w:r>
      <w:r>
        <w:rPr>
          <w:rFonts w:ascii="仿宋" w:hAnsi="仿宋" w:eastAsia="仿宋" w:cs="仿宋"/>
          <w:sz w:val="28"/>
          <w:szCs w:val="28"/>
        </w:rPr>
        <w:t>包含财务报告及 其附表</w:t>
      </w:r>
      <w:r>
        <w:rPr>
          <w:rFonts w:ascii="仿宋" w:hAnsi="仿宋" w:eastAsia="仿宋" w:cs="仿宋"/>
          <w:spacing w:val="-8"/>
          <w:sz w:val="28"/>
          <w:szCs w:val="28"/>
        </w:rPr>
        <w:t>；（</w:t>
      </w:r>
      <w:r>
        <w:rPr>
          <w:rFonts w:ascii="仿宋" w:hAnsi="仿宋" w:eastAsia="仿宋" w:cs="仿宋"/>
          <w:sz w:val="28"/>
          <w:szCs w:val="28"/>
        </w:rPr>
        <w:t>2）项目成果文件（如适用</w:t>
      </w:r>
      <w:r>
        <w:rPr>
          <w:rFonts w:ascii="仿宋" w:hAnsi="仿宋" w:eastAsia="仿宋" w:cs="仿宋"/>
          <w:spacing w:val="-8"/>
          <w:sz w:val="28"/>
          <w:szCs w:val="28"/>
        </w:rPr>
        <w:t>）；</w:t>
      </w:r>
    </w:p>
    <w:p w14:paraId="49336630">
      <w:pPr>
        <w:spacing w:before="45" w:line="223" w:lineRule="auto"/>
        <w:ind w:left="585"/>
        <w:rPr>
          <w:rFonts w:ascii="仿宋" w:hAnsi="仿宋" w:eastAsia="仿宋" w:cs="仿宋"/>
          <w:sz w:val="28"/>
          <w:szCs w:val="28"/>
        </w:rPr>
      </w:pPr>
      <w:r>
        <w:rPr>
          <w:rFonts w:ascii="仿宋" w:hAnsi="仿宋" w:eastAsia="仿宋" w:cs="仿宋"/>
          <w:spacing w:val="-1"/>
          <w:sz w:val="28"/>
          <w:szCs w:val="28"/>
        </w:rPr>
        <w:t>6.项目结项档案：包括（1）项目总结报告</w:t>
      </w:r>
      <w:r>
        <w:rPr>
          <w:rFonts w:ascii="仿宋" w:hAnsi="仿宋" w:eastAsia="仿宋" w:cs="仿宋"/>
          <w:spacing w:val="-36"/>
          <w:sz w:val="28"/>
          <w:szCs w:val="28"/>
        </w:rPr>
        <w:t>；（</w:t>
      </w:r>
      <w:r>
        <w:rPr>
          <w:rFonts w:ascii="仿宋" w:hAnsi="仿宋" w:eastAsia="仿宋" w:cs="仿宋"/>
          <w:spacing w:val="-1"/>
          <w:sz w:val="28"/>
          <w:szCs w:val="28"/>
        </w:rPr>
        <w:t>2）</w:t>
      </w:r>
      <w:r>
        <w:rPr>
          <w:rFonts w:ascii="仿宋" w:hAnsi="仿宋" w:eastAsia="仿宋" w:cs="仿宋"/>
          <w:spacing w:val="-2"/>
          <w:sz w:val="28"/>
          <w:szCs w:val="28"/>
        </w:rPr>
        <w:t>项目财务报告</w:t>
      </w:r>
    </w:p>
    <w:p w14:paraId="6D840A0C">
      <w:pPr>
        <w:spacing w:line="223" w:lineRule="auto"/>
        <w:rPr>
          <w:rFonts w:ascii="仿宋" w:hAnsi="仿宋" w:eastAsia="仿宋" w:cs="仿宋"/>
          <w:sz w:val="28"/>
          <w:szCs w:val="28"/>
        </w:rPr>
        <w:sectPr>
          <w:pgSz w:w="11906" w:h="16839"/>
          <w:pgMar w:top="400" w:right="1718" w:bottom="400" w:left="1785" w:header="0" w:footer="850" w:gutter="0"/>
          <w:pgNumType w:fmt="decimal"/>
          <w:cols w:space="720" w:num="1"/>
        </w:sectPr>
      </w:pPr>
    </w:p>
    <w:p w14:paraId="6DEB2D40">
      <w:pPr>
        <w:spacing w:line="287" w:lineRule="auto"/>
        <w:rPr>
          <w:rFonts w:ascii="Arial"/>
          <w:sz w:val="21"/>
        </w:rPr>
      </w:pPr>
    </w:p>
    <w:p w14:paraId="57E9C8FA">
      <w:pPr>
        <w:spacing w:line="287" w:lineRule="auto"/>
        <w:rPr>
          <w:rFonts w:ascii="Arial"/>
          <w:sz w:val="21"/>
        </w:rPr>
      </w:pPr>
    </w:p>
    <w:p w14:paraId="775A31A0">
      <w:pPr>
        <w:spacing w:line="287" w:lineRule="auto"/>
        <w:rPr>
          <w:rFonts w:ascii="Arial"/>
          <w:sz w:val="21"/>
        </w:rPr>
      </w:pPr>
    </w:p>
    <w:p w14:paraId="27972B6B">
      <w:pPr>
        <w:spacing w:line="288" w:lineRule="auto"/>
        <w:rPr>
          <w:rFonts w:ascii="Arial"/>
          <w:sz w:val="21"/>
        </w:rPr>
      </w:pPr>
    </w:p>
    <w:p w14:paraId="5ECD59C6">
      <w:pPr>
        <w:spacing w:before="91" w:line="354" w:lineRule="auto"/>
        <w:ind w:left="32" w:right="16" w:firstLine="3"/>
        <w:rPr>
          <w:rFonts w:ascii="仿宋" w:hAnsi="仿宋" w:eastAsia="仿宋" w:cs="仿宋"/>
          <w:sz w:val="28"/>
          <w:szCs w:val="28"/>
        </w:rPr>
      </w:pPr>
      <w:r>
        <w:rPr>
          <w:rFonts w:ascii="仿宋" w:hAnsi="仿宋" w:eastAsia="仿宋" w:cs="仿宋"/>
          <w:spacing w:val="1"/>
          <w:sz w:val="28"/>
          <w:szCs w:val="28"/>
        </w:rPr>
        <w:t>及其附表</w:t>
      </w:r>
      <w:r>
        <w:rPr>
          <w:rFonts w:ascii="仿宋" w:hAnsi="仿宋" w:eastAsia="仿宋" w:cs="仿宋"/>
          <w:spacing w:val="-28"/>
          <w:sz w:val="28"/>
          <w:szCs w:val="28"/>
        </w:rPr>
        <w:t>；（</w:t>
      </w:r>
      <w:r>
        <w:rPr>
          <w:rFonts w:ascii="仿宋" w:hAnsi="仿宋" w:eastAsia="仿宋" w:cs="仿宋"/>
          <w:spacing w:val="1"/>
          <w:sz w:val="28"/>
          <w:szCs w:val="28"/>
        </w:rPr>
        <w:t>3）项目成果文件（如适用</w:t>
      </w:r>
      <w:r>
        <w:rPr>
          <w:rFonts w:ascii="仿宋" w:hAnsi="仿宋" w:eastAsia="仿宋" w:cs="仿宋"/>
          <w:spacing w:val="-28"/>
          <w:sz w:val="28"/>
          <w:szCs w:val="28"/>
        </w:rPr>
        <w:t>）；（</w:t>
      </w:r>
      <w:r>
        <w:rPr>
          <w:rFonts w:ascii="仿宋" w:hAnsi="仿宋" w:eastAsia="仿宋" w:cs="仿宋"/>
          <w:spacing w:val="1"/>
          <w:sz w:val="28"/>
          <w:szCs w:val="28"/>
        </w:rPr>
        <w:t>4）项目第</w:t>
      </w:r>
      <w:r>
        <w:rPr>
          <w:rFonts w:ascii="仿宋" w:hAnsi="仿宋" w:eastAsia="仿宋" w:cs="仿宋"/>
          <w:sz w:val="28"/>
          <w:szCs w:val="28"/>
        </w:rPr>
        <w:t>三方评估报</w:t>
      </w:r>
      <w:r>
        <w:rPr>
          <w:rFonts w:ascii="仿宋" w:hAnsi="仿宋" w:eastAsia="仿宋" w:cs="仿宋"/>
          <w:spacing w:val="2"/>
          <w:sz w:val="28"/>
          <w:szCs w:val="28"/>
        </w:rPr>
        <w:t xml:space="preserve"> </w:t>
      </w:r>
      <w:r>
        <w:rPr>
          <w:rFonts w:ascii="仿宋" w:hAnsi="仿宋" w:eastAsia="仿宋" w:cs="仿宋"/>
          <w:spacing w:val="1"/>
          <w:sz w:val="28"/>
          <w:szCs w:val="28"/>
        </w:rPr>
        <w:t>告及其审批文件（如适用</w:t>
      </w:r>
      <w:r>
        <w:rPr>
          <w:rFonts w:ascii="仿宋" w:hAnsi="仿宋" w:eastAsia="仿宋" w:cs="仿宋"/>
          <w:spacing w:val="-21"/>
          <w:sz w:val="28"/>
          <w:szCs w:val="28"/>
        </w:rPr>
        <w:t>）；（</w:t>
      </w:r>
      <w:r>
        <w:rPr>
          <w:rFonts w:ascii="仿宋" w:hAnsi="仿宋" w:eastAsia="仿宋" w:cs="仿宋"/>
          <w:spacing w:val="1"/>
          <w:sz w:val="28"/>
          <w:szCs w:val="28"/>
        </w:rPr>
        <w:t>5） 项目专项审计报告</w:t>
      </w:r>
      <w:r>
        <w:rPr>
          <w:rFonts w:ascii="仿宋" w:hAnsi="仿宋" w:eastAsia="仿宋" w:cs="仿宋"/>
          <w:sz w:val="28"/>
          <w:szCs w:val="28"/>
        </w:rPr>
        <w:t>（如适用</w:t>
      </w:r>
      <w:r>
        <w:rPr>
          <w:rFonts w:ascii="仿宋" w:hAnsi="仿宋" w:eastAsia="仿宋" w:cs="仿宋"/>
          <w:spacing w:val="-21"/>
          <w:sz w:val="28"/>
          <w:szCs w:val="28"/>
        </w:rPr>
        <w:t>）；</w:t>
      </w:r>
    </w:p>
    <w:p w14:paraId="3BF52DDA">
      <w:pPr>
        <w:spacing w:before="44" w:line="355" w:lineRule="auto"/>
        <w:ind w:left="32" w:right="48" w:firstLine="557"/>
        <w:rPr>
          <w:rFonts w:ascii="仿宋" w:hAnsi="仿宋" w:eastAsia="仿宋" w:cs="仿宋"/>
          <w:sz w:val="28"/>
          <w:szCs w:val="28"/>
        </w:rPr>
      </w:pPr>
      <w:r>
        <w:rPr>
          <w:rFonts w:ascii="仿宋" w:hAnsi="仿宋" w:eastAsia="仿宋" w:cs="仿宋"/>
          <w:spacing w:val="-2"/>
          <w:sz w:val="28"/>
          <w:szCs w:val="28"/>
        </w:rPr>
        <w:t>7.项目调整变更档案：包括（1）项目调整申请文件</w:t>
      </w:r>
      <w:r>
        <w:rPr>
          <w:rFonts w:ascii="仿宋" w:hAnsi="仿宋" w:eastAsia="仿宋" w:cs="仿宋"/>
          <w:spacing w:val="-28"/>
          <w:sz w:val="28"/>
          <w:szCs w:val="28"/>
        </w:rPr>
        <w:t>；（</w:t>
      </w:r>
      <w:r>
        <w:rPr>
          <w:rFonts w:ascii="仿宋" w:hAnsi="仿宋" w:eastAsia="仿宋" w:cs="仿宋"/>
          <w:spacing w:val="-2"/>
          <w:sz w:val="28"/>
          <w:szCs w:val="28"/>
        </w:rPr>
        <w:t>2）项目</w:t>
      </w:r>
      <w:r>
        <w:rPr>
          <w:rFonts w:ascii="仿宋" w:hAnsi="仿宋" w:eastAsia="仿宋" w:cs="仿宋"/>
          <w:spacing w:val="1"/>
          <w:sz w:val="28"/>
          <w:szCs w:val="28"/>
        </w:rPr>
        <w:t xml:space="preserve"> 调整审批流程单</w:t>
      </w:r>
      <w:r>
        <w:rPr>
          <w:rFonts w:ascii="仿宋" w:hAnsi="仿宋" w:eastAsia="仿宋" w:cs="仿宋"/>
          <w:spacing w:val="-20"/>
          <w:sz w:val="28"/>
          <w:szCs w:val="28"/>
        </w:rPr>
        <w:t>；（</w:t>
      </w:r>
      <w:r>
        <w:rPr>
          <w:rFonts w:ascii="仿宋" w:hAnsi="仿宋" w:eastAsia="仿宋" w:cs="仿宋"/>
          <w:spacing w:val="1"/>
          <w:sz w:val="28"/>
          <w:szCs w:val="28"/>
        </w:rPr>
        <w:t>3）相关邮件及会议纪要；</w:t>
      </w:r>
    </w:p>
    <w:p w14:paraId="49506AE9">
      <w:pPr>
        <w:spacing w:before="42" w:line="363" w:lineRule="auto"/>
        <w:ind w:left="32" w:right="48" w:firstLine="551"/>
        <w:rPr>
          <w:rFonts w:ascii="仿宋" w:hAnsi="仿宋" w:eastAsia="仿宋" w:cs="仿宋"/>
          <w:sz w:val="28"/>
          <w:szCs w:val="28"/>
        </w:rPr>
      </w:pPr>
      <w:r>
        <w:rPr>
          <w:rFonts w:ascii="仿宋" w:hAnsi="仿宋" w:eastAsia="仿宋" w:cs="仿宋"/>
          <w:spacing w:val="-4"/>
          <w:sz w:val="28"/>
          <w:szCs w:val="28"/>
        </w:rPr>
        <w:t>8. 其它相关项目资料文件，如基线调研/需求评估报告、项目选</w:t>
      </w:r>
      <w:r>
        <w:rPr>
          <w:rFonts w:ascii="仿宋" w:hAnsi="仿宋" w:eastAsia="仿宋" w:cs="仿宋"/>
          <w:spacing w:val="15"/>
          <w:sz w:val="28"/>
          <w:szCs w:val="28"/>
        </w:rPr>
        <w:t xml:space="preserve"> </w:t>
      </w:r>
      <w:r>
        <w:rPr>
          <w:rFonts w:ascii="仿宋" w:hAnsi="仿宋" w:eastAsia="仿宋" w:cs="仿宋"/>
          <w:spacing w:val="1"/>
          <w:sz w:val="28"/>
          <w:szCs w:val="28"/>
        </w:rPr>
        <w:t>点报告、伙伴招募资料、项目评审/谈判记录、项目监测报</w:t>
      </w:r>
      <w:r>
        <w:rPr>
          <w:rFonts w:ascii="仿宋" w:hAnsi="仿宋" w:eastAsia="仿宋" w:cs="仿宋"/>
          <w:sz w:val="28"/>
          <w:szCs w:val="28"/>
        </w:rPr>
        <w:t xml:space="preserve">告、访点 </w:t>
      </w:r>
      <w:r>
        <w:rPr>
          <w:rFonts w:ascii="仿宋" w:hAnsi="仿宋" w:eastAsia="仿宋" w:cs="仿宋"/>
          <w:spacing w:val="-4"/>
          <w:sz w:val="28"/>
          <w:szCs w:val="28"/>
        </w:rPr>
        <w:t>报告、会议纪要、项目活动简报、项目第三方服务合同及其方案、项</w:t>
      </w:r>
      <w:r>
        <w:rPr>
          <w:rFonts w:ascii="仿宋" w:hAnsi="仿宋" w:eastAsia="仿宋" w:cs="仿宋"/>
          <w:spacing w:val="7"/>
          <w:sz w:val="28"/>
          <w:szCs w:val="28"/>
        </w:rPr>
        <w:t xml:space="preserve"> </w:t>
      </w:r>
      <w:r>
        <w:rPr>
          <w:rFonts w:ascii="仿宋" w:hAnsi="仿宋" w:eastAsia="仿宋" w:cs="仿宋"/>
          <w:spacing w:val="-4"/>
          <w:sz w:val="28"/>
          <w:szCs w:val="28"/>
        </w:rPr>
        <w:t>目产出（如课程视频文件、项目总结视频文件、活动照片、活动海报</w:t>
      </w:r>
      <w:r>
        <w:rPr>
          <w:rFonts w:ascii="仿宋" w:hAnsi="仿宋" w:eastAsia="仿宋" w:cs="仿宋"/>
          <w:spacing w:val="7"/>
          <w:sz w:val="28"/>
          <w:szCs w:val="28"/>
        </w:rPr>
        <w:t xml:space="preserve"> </w:t>
      </w:r>
      <w:r>
        <w:rPr>
          <w:rFonts w:ascii="仿宋" w:hAnsi="仿宋" w:eastAsia="仿宋" w:cs="仿宋"/>
          <w:spacing w:val="-2"/>
          <w:sz w:val="28"/>
          <w:szCs w:val="28"/>
        </w:rPr>
        <w:t>及其设计物料、研究报告）等；</w:t>
      </w:r>
    </w:p>
    <w:p w14:paraId="28684967">
      <w:pPr>
        <w:spacing w:before="51" w:line="361" w:lineRule="auto"/>
        <w:ind w:left="32" w:firstLine="551"/>
        <w:jc w:val="both"/>
        <w:rPr>
          <w:rFonts w:ascii="仿宋" w:hAnsi="仿宋" w:eastAsia="仿宋" w:cs="仿宋"/>
          <w:sz w:val="28"/>
          <w:szCs w:val="28"/>
        </w:rPr>
      </w:pPr>
      <w:r>
        <w:rPr>
          <w:rFonts w:ascii="仿宋" w:hAnsi="仿宋" w:eastAsia="仿宋" w:cs="仿宋"/>
          <w:spacing w:val="-2"/>
          <w:sz w:val="28"/>
          <w:szCs w:val="28"/>
        </w:rPr>
        <w:t>9.存档方式：除项目合作协议签章件及其附件（如项目建议书、</w:t>
      </w:r>
      <w:r>
        <w:rPr>
          <w:rFonts w:ascii="仿宋" w:hAnsi="仿宋" w:eastAsia="仿宋" w:cs="仿宋"/>
          <w:spacing w:val="1"/>
          <w:sz w:val="28"/>
          <w:szCs w:val="28"/>
        </w:rPr>
        <w:t xml:space="preserve"> </w:t>
      </w:r>
      <w:r>
        <w:rPr>
          <w:rFonts w:ascii="仿宋" w:hAnsi="仿宋" w:eastAsia="仿宋" w:cs="仿宋"/>
          <w:spacing w:val="-4"/>
          <w:sz w:val="28"/>
          <w:szCs w:val="28"/>
        </w:rPr>
        <w:t>项目逻辑框架、计划预算、财务汇总及请款计划）、项目实施阶段报</w:t>
      </w:r>
      <w:r>
        <w:rPr>
          <w:rFonts w:ascii="仿宋" w:hAnsi="仿宋" w:eastAsia="仿宋" w:cs="仿宋"/>
          <w:spacing w:val="7"/>
          <w:sz w:val="28"/>
          <w:szCs w:val="28"/>
        </w:rPr>
        <w:t xml:space="preserve"> </w:t>
      </w:r>
      <w:r>
        <w:rPr>
          <w:rFonts w:ascii="仿宋" w:hAnsi="仿宋" w:eastAsia="仿宋" w:cs="仿宋"/>
          <w:spacing w:val="-4"/>
          <w:sz w:val="28"/>
          <w:szCs w:val="28"/>
        </w:rPr>
        <w:t>告（包含财务报告及其附表）、项目结项报告和财务报告等必须将纸</w:t>
      </w:r>
      <w:r>
        <w:rPr>
          <w:rFonts w:ascii="仿宋" w:hAnsi="仿宋" w:eastAsia="仿宋" w:cs="仿宋"/>
          <w:spacing w:val="6"/>
          <w:sz w:val="28"/>
          <w:szCs w:val="28"/>
        </w:rPr>
        <w:t xml:space="preserve"> </w:t>
      </w:r>
      <w:r>
        <w:rPr>
          <w:rFonts w:ascii="仿宋" w:hAnsi="仿宋" w:eastAsia="仿宋" w:cs="仿宋"/>
          <w:spacing w:val="-1"/>
          <w:sz w:val="28"/>
          <w:szCs w:val="28"/>
        </w:rPr>
        <w:t>质文档原件归档，其他资料本着环保原则，以电子形式归档;</w:t>
      </w:r>
    </w:p>
    <w:p w14:paraId="12B7EC59">
      <w:pPr>
        <w:spacing w:before="48" w:line="359" w:lineRule="auto"/>
        <w:ind w:left="32" w:right="48" w:firstLine="571"/>
        <w:jc w:val="both"/>
        <w:rPr>
          <w:rFonts w:ascii="仿宋" w:hAnsi="仿宋" w:eastAsia="仿宋" w:cs="仿宋"/>
          <w:sz w:val="28"/>
          <w:szCs w:val="28"/>
        </w:rPr>
      </w:pPr>
      <w:r>
        <w:rPr>
          <w:rFonts w:ascii="仿宋" w:hAnsi="仿宋" w:eastAsia="仿宋" w:cs="仿宋"/>
          <w:sz w:val="28"/>
          <w:szCs w:val="28"/>
        </w:rPr>
        <w:t>10.项目档案须有档案号，编号规则“项目编码代号+立项年份+</w:t>
      </w:r>
      <w:r>
        <w:rPr>
          <w:rFonts w:ascii="仿宋" w:hAnsi="仿宋" w:eastAsia="仿宋" w:cs="仿宋"/>
          <w:spacing w:val="14"/>
          <w:sz w:val="28"/>
          <w:szCs w:val="28"/>
        </w:rPr>
        <w:t xml:space="preserve"> </w:t>
      </w:r>
      <w:r>
        <w:rPr>
          <w:rFonts w:ascii="仿宋" w:hAnsi="仿宋" w:eastAsia="仿宋" w:cs="仿宋"/>
          <w:spacing w:val="-4"/>
          <w:sz w:val="28"/>
          <w:szCs w:val="28"/>
        </w:rPr>
        <w:t>项目名称+结项年份</w:t>
      </w:r>
      <w:r>
        <w:rPr>
          <w:rFonts w:ascii="仿宋" w:hAnsi="仿宋" w:eastAsia="仿宋" w:cs="仿宋"/>
          <w:spacing w:val="-103"/>
          <w:sz w:val="28"/>
          <w:szCs w:val="28"/>
        </w:rPr>
        <w:t xml:space="preserve"> </w:t>
      </w:r>
      <w:r>
        <w:rPr>
          <w:rFonts w:ascii="仿宋" w:hAnsi="仿宋" w:eastAsia="仿宋" w:cs="仿宋"/>
          <w:spacing w:val="-4"/>
          <w:sz w:val="28"/>
          <w:szCs w:val="28"/>
        </w:rPr>
        <w:t>”</w:t>
      </w:r>
      <w:r>
        <w:rPr>
          <w:rFonts w:ascii="仿宋" w:hAnsi="仿宋" w:eastAsia="仿宋" w:cs="仿宋"/>
          <w:spacing w:val="-30"/>
          <w:sz w:val="28"/>
          <w:szCs w:val="28"/>
        </w:rPr>
        <w:t xml:space="preserve"> </w:t>
      </w:r>
      <w:r>
        <w:rPr>
          <w:rFonts w:ascii="仿宋" w:hAnsi="仿宋" w:eastAsia="仿宋" w:cs="仿宋"/>
          <w:spacing w:val="-4"/>
          <w:sz w:val="28"/>
          <w:szCs w:val="28"/>
        </w:rPr>
        <w:t>由信息化系统自动生成。在系统内对于各类文</w:t>
      </w:r>
      <w:r>
        <w:rPr>
          <w:rFonts w:ascii="仿宋" w:hAnsi="仿宋" w:eastAsia="仿宋" w:cs="仿宋"/>
          <w:sz w:val="28"/>
          <w:szCs w:val="28"/>
        </w:rPr>
        <w:t xml:space="preserve"> </w:t>
      </w:r>
      <w:r>
        <w:rPr>
          <w:rFonts w:ascii="仿宋" w:hAnsi="仿宋" w:eastAsia="仿宋" w:cs="仿宋"/>
          <w:spacing w:val="-1"/>
          <w:sz w:val="28"/>
          <w:szCs w:val="28"/>
        </w:rPr>
        <w:t>件按尽职调查—立项—执行—结项以时间顺序排列。</w:t>
      </w:r>
    </w:p>
    <w:p w14:paraId="50F11D6A">
      <w:pPr>
        <w:spacing w:before="46" w:line="221" w:lineRule="auto"/>
        <w:ind w:left="603"/>
        <w:rPr>
          <w:rFonts w:ascii="仿宋" w:hAnsi="仿宋" w:eastAsia="仿宋" w:cs="仿宋"/>
          <w:sz w:val="28"/>
          <w:szCs w:val="28"/>
        </w:rPr>
      </w:pPr>
      <w:r>
        <w:rPr>
          <w:rFonts w:ascii="仿宋" w:hAnsi="仿宋" w:eastAsia="仿宋" w:cs="仿宋"/>
          <w:b/>
          <w:bCs/>
          <w:spacing w:val="-8"/>
          <w:sz w:val="28"/>
          <w:szCs w:val="28"/>
        </w:rPr>
        <w:t>第一百七十二条</w:t>
      </w:r>
      <w:r>
        <w:rPr>
          <w:rFonts w:ascii="仿宋" w:hAnsi="仿宋" w:eastAsia="仿宋" w:cs="仿宋"/>
          <w:spacing w:val="56"/>
          <w:sz w:val="28"/>
          <w:szCs w:val="28"/>
        </w:rPr>
        <w:t xml:space="preserve"> </w:t>
      </w:r>
      <w:r>
        <w:rPr>
          <w:rFonts w:ascii="仿宋" w:hAnsi="仿宋" w:eastAsia="仿宋" w:cs="仿宋"/>
          <w:b/>
          <w:bCs/>
          <w:spacing w:val="-8"/>
          <w:sz w:val="28"/>
          <w:szCs w:val="28"/>
        </w:rPr>
        <w:t>品牌传播档案：</w:t>
      </w:r>
    </w:p>
    <w:p w14:paraId="1B78E32E">
      <w:pPr>
        <w:spacing w:before="223" w:line="355" w:lineRule="auto"/>
        <w:ind w:left="586" w:right="1775" w:firstLine="17"/>
        <w:rPr>
          <w:rFonts w:ascii="仿宋" w:hAnsi="仿宋" w:eastAsia="仿宋" w:cs="仿宋"/>
          <w:sz w:val="28"/>
          <w:szCs w:val="28"/>
        </w:rPr>
      </w:pPr>
      <w:r>
        <w:rPr>
          <w:rFonts w:ascii="仿宋" w:hAnsi="仿宋" w:eastAsia="仿宋" w:cs="仿宋"/>
          <w:spacing w:val="-2"/>
          <w:sz w:val="28"/>
          <w:szCs w:val="28"/>
        </w:rPr>
        <w:t>1.基金会各类物品的设计文件、制作物及印刷品;</w:t>
      </w:r>
      <w:r>
        <w:rPr>
          <w:rFonts w:ascii="仿宋" w:hAnsi="仿宋" w:eastAsia="仿宋" w:cs="仿宋"/>
          <w:spacing w:val="14"/>
          <w:sz w:val="28"/>
          <w:szCs w:val="28"/>
        </w:rPr>
        <w:t xml:space="preserve"> </w:t>
      </w:r>
      <w:r>
        <w:rPr>
          <w:rFonts w:ascii="仿宋" w:hAnsi="仿宋" w:eastAsia="仿宋" w:cs="仿宋"/>
          <w:spacing w:val="-1"/>
          <w:sz w:val="28"/>
          <w:szCs w:val="28"/>
        </w:rPr>
        <w:t>2.重要媒体报道剪报/电子文档;</w:t>
      </w:r>
    </w:p>
    <w:p w14:paraId="3206C403">
      <w:pPr>
        <w:spacing w:before="45" w:line="359" w:lineRule="auto"/>
        <w:ind w:left="31" w:right="48" w:firstLine="556"/>
        <w:jc w:val="both"/>
        <w:rPr>
          <w:rFonts w:ascii="仿宋" w:hAnsi="仿宋" w:eastAsia="仿宋" w:cs="仿宋"/>
          <w:sz w:val="28"/>
          <w:szCs w:val="28"/>
        </w:rPr>
      </w:pPr>
      <w:r>
        <w:rPr>
          <w:rFonts w:ascii="仿宋" w:hAnsi="仿宋" w:eastAsia="仿宋" w:cs="仿宋"/>
          <w:spacing w:val="-4"/>
          <w:sz w:val="28"/>
          <w:szCs w:val="28"/>
        </w:rPr>
        <w:t>3.品牌传播活动，包括各类宣传、大型活动的策划方案、活动物</w:t>
      </w:r>
      <w:r>
        <w:rPr>
          <w:rFonts w:ascii="仿宋" w:hAnsi="仿宋" w:eastAsia="仿宋" w:cs="仿宋"/>
          <w:spacing w:val="6"/>
          <w:sz w:val="28"/>
          <w:szCs w:val="28"/>
        </w:rPr>
        <w:t xml:space="preserve"> </w:t>
      </w:r>
      <w:r>
        <w:rPr>
          <w:rFonts w:ascii="仿宋" w:hAnsi="仿宋" w:eastAsia="仿宋" w:cs="仿宋"/>
          <w:spacing w:val="-4"/>
          <w:sz w:val="28"/>
          <w:szCs w:val="28"/>
        </w:rPr>
        <w:t>料文件、总结报告、新闻稿以及在活动中形成或采集到的媒体报道监</w:t>
      </w:r>
      <w:r>
        <w:rPr>
          <w:rFonts w:ascii="仿宋" w:hAnsi="仿宋" w:eastAsia="仿宋" w:cs="仿宋"/>
          <w:spacing w:val="7"/>
          <w:sz w:val="28"/>
          <w:szCs w:val="28"/>
        </w:rPr>
        <w:t xml:space="preserve"> </w:t>
      </w:r>
      <w:r>
        <w:rPr>
          <w:rFonts w:ascii="仿宋" w:hAnsi="仿宋" w:eastAsia="仿宋" w:cs="仿宋"/>
          <w:sz w:val="28"/>
          <w:szCs w:val="28"/>
        </w:rPr>
        <w:t>测报告、图片、影像等材料.</w:t>
      </w:r>
    </w:p>
    <w:p w14:paraId="5E5CD095">
      <w:pPr>
        <w:spacing w:before="46" w:line="353" w:lineRule="auto"/>
        <w:ind w:left="46" w:right="48" w:firstLine="556"/>
        <w:rPr>
          <w:rFonts w:ascii="仿宋" w:hAnsi="仿宋" w:eastAsia="仿宋" w:cs="仿宋"/>
          <w:sz w:val="28"/>
          <w:szCs w:val="28"/>
        </w:rPr>
      </w:pPr>
      <w:r>
        <w:rPr>
          <w:rFonts w:ascii="仿宋" w:hAnsi="仿宋" w:eastAsia="仿宋" w:cs="仿宋"/>
          <w:b/>
          <w:bCs/>
          <w:sz w:val="28"/>
          <w:szCs w:val="28"/>
        </w:rPr>
        <w:t>第一百七十三条</w:t>
      </w:r>
      <w:r>
        <w:rPr>
          <w:rFonts w:ascii="仿宋" w:hAnsi="仿宋" w:eastAsia="仿宋" w:cs="仿宋"/>
          <w:sz w:val="28"/>
          <w:szCs w:val="28"/>
        </w:rPr>
        <w:t xml:space="preserve"> 基金会档案形式主要包括电子文档</w:t>
      </w:r>
      <w:r>
        <w:rPr>
          <w:rFonts w:ascii="仿宋" w:hAnsi="仿宋" w:eastAsia="仿宋" w:cs="仿宋"/>
          <w:spacing w:val="-1"/>
          <w:sz w:val="28"/>
          <w:szCs w:val="28"/>
        </w:rPr>
        <w:t>和实物资料</w:t>
      </w:r>
      <w:r>
        <w:rPr>
          <w:rFonts w:ascii="仿宋" w:hAnsi="仿宋" w:eastAsia="仿宋" w:cs="仿宋"/>
          <w:sz w:val="28"/>
          <w:szCs w:val="28"/>
        </w:rPr>
        <w:t xml:space="preserve"> </w:t>
      </w:r>
      <w:r>
        <w:rPr>
          <w:rFonts w:ascii="仿宋" w:hAnsi="仿宋" w:eastAsia="仿宋" w:cs="仿宋"/>
          <w:spacing w:val="-4"/>
          <w:sz w:val="28"/>
          <w:szCs w:val="28"/>
        </w:rPr>
        <w:t>两种：纸质档案应按照封面、文件目录、文件材料</w:t>
      </w:r>
      <w:r>
        <w:rPr>
          <w:rFonts w:ascii="仿宋" w:hAnsi="仿宋" w:eastAsia="仿宋" w:cs="仿宋"/>
          <w:spacing w:val="-5"/>
          <w:sz w:val="28"/>
          <w:szCs w:val="28"/>
        </w:rPr>
        <w:t>的顺序排列；电子</w:t>
      </w:r>
    </w:p>
    <w:p w14:paraId="4C3CF9EE">
      <w:pPr>
        <w:spacing w:line="353" w:lineRule="auto"/>
        <w:rPr>
          <w:rFonts w:ascii="仿宋" w:hAnsi="仿宋" w:eastAsia="仿宋" w:cs="仿宋"/>
          <w:sz w:val="28"/>
          <w:szCs w:val="28"/>
        </w:rPr>
        <w:sectPr>
          <w:pgSz w:w="11906" w:h="16839"/>
          <w:pgMar w:top="400" w:right="1751" w:bottom="400" w:left="1785" w:header="0" w:footer="794" w:gutter="0"/>
          <w:pgNumType w:fmt="decimal"/>
          <w:cols w:space="720" w:num="1"/>
        </w:sectPr>
      </w:pPr>
    </w:p>
    <w:p w14:paraId="149CFE11">
      <w:pPr>
        <w:spacing w:line="287" w:lineRule="auto"/>
        <w:rPr>
          <w:rFonts w:ascii="Arial"/>
          <w:sz w:val="21"/>
        </w:rPr>
      </w:pPr>
    </w:p>
    <w:p w14:paraId="2759CA02">
      <w:pPr>
        <w:spacing w:line="287" w:lineRule="auto"/>
        <w:rPr>
          <w:rFonts w:ascii="Arial"/>
          <w:sz w:val="21"/>
        </w:rPr>
      </w:pPr>
    </w:p>
    <w:p w14:paraId="15F031AE">
      <w:pPr>
        <w:spacing w:line="287" w:lineRule="auto"/>
        <w:rPr>
          <w:rFonts w:ascii="Arial"/>
          <w:sz w:val="21"/>
        </w:rPr>
      </w:pPr>
    </w:p>
    <w:p w14:paraId="186E8D4E">
      <w:pPr>
        <w:spacing w:line="287" w:lineRule="auto"/>
        <w:rPr>
          <w:rFonts w:ascii="Arial"/>
          <w:sz w:val="21"/>
        </w:rPr>
      </w:pPr>
    </w:p>
    <w:p w14:paraId="0A4B8F4F">
      <w:pPr>
        <w:spacing w:before="91" w:line="363" w:lineRule="auto"/>
        <w:ind w:left="31" w:right="80"/>
        <w:jc w:val="both"/>
        <w:rPr>
          <w:rFonts w:ascii="仿宋" w:hAnsi="仿宋" w:eastAsia="仿宋" w:cs="仿宋"/>
          <w:sz w:val="28"/>
          <w:szCs w:val="28"/>
        </w:rPr>
      </w:pPr>
      <w:r>
        <w:rPr>
          <w:rFonts w:ascii="仿宋" w:hAnsi="仿宋" w:eastAsia="仿宋" w:cs="仿宋"/>
          <w:spacing w:val="-4"/>
          <w:sz w:val="28"/>
          <w:szCs w:val="28"/>
        </w:rPr>
        <w:t>档案应建立一个文件夹，在文件夹内按照本职责第十一条、第十二条</w:t>
      </w:r>
      <w:r>
        <w:rPr>
          <w:rFonts w:ascii="仿宋" w:hAnsi="仿宋" w:eastAsia="仿宋" w:cs="仿宋"/>
          <w:spacing w:val="7"/>
          <w:sz w:val="28"/>
          <w:szCs w:val="28"/>
        </w:rPr>
        <w:t xml:space="preserve"> </w:t>
      </w:r>
      <w:r>
        <w:rPr>
          <w:rFonts w:ascii="仿宋" w:hAnsi="仿宋" w:eastAsia="仿宋" w:cs="仿宋"/>
          <w:spacing w:val="-4"/>
          <w:sz w:val="28"/>
          <w:szCs w:val="28"/>
        </w:rPr>
        <w:t>和第十三条分类归档。纸质档案的目录应按规定的格式逐项填写并放</w:t>
      </w:r>
      <w:r>
        <w:rPr>
          <w:rFonts w:ascii="仿宋" w:hAnsi="仿宋" w:eastAsia="仿宋" w:cs="仿宋"/>
          <w:spacing w:val="6"/>
          <w:sz w:val="28"/>
          <w:szCs w:val="28"/>
        </w:rPr>
        <w:t xml:space="preserve"> </w:t>
      </w:r>
      <w:r>
        <w:rPr>
          <w:rFonts w:ascii="仿宋" w:hAnsi="仿宋" w:eastAsia="仿宋" w:cs="仿宋"/>
          <w:spacing w:val="-4"/>
          <w:sz w:val="28"/>
          <w:szCs w:val="28"/>
        </w:rPr>
        <w:t>在卷首，电子业务档案的目录应单独放在档案文件夹内。对应当归档</w:t>
      </w:r>
      <w:r>
        <w:rPr>
          <w:rFonts w:ascii="仿宋" w:hAnsi="仿宋" w:eastAsia="仿宋" w:cs="仿宋"/>
          <w:spacing w:val="7"/>
          <w:sz w:val="28"/>
          <w:szCs w:val="28"/>
        </w:rPr>
        <w:t xml:space="preserve"> </w:t>
      </w:r>
      <w:r>
        <w:rPr>
          <w:rFonts w:ascii="仿宋" w:hAnsi="仿宋" w:eastAsia="仿宋" w:cs="仿宋"/>
          <w:spacing w:val="-4"/>
          <w:sz w:val="28"/>
          <w:szCs w:val="28"/>
        </w:rPr>
        <w:t>入卷的材料，如因特殊原因无法收集及补充的，须由具体经办人或业</w:t>
      </w:r>
      <w:r>
        <w:rPr>
          <w:rFonts w:ascii="仿宋" w:hAnsi="仿宋" w:eastAsia="仿宋" w:cs="仿宋"/>
          <w:spacing w:val="7"/>
          <w:sz w:val="28"/>
          <w:szCs w:val="28"/>
        </w:rPr>
        <w:t xml:space="preserve"> </w:t>
      </w:r>
      <w:r>
        <w:rPr>
          <w:rFonts w:ascii="仿宋" w:hAnsi="仿宋" w:eastAsia="仿宋" w:cs="仿宋"/>
          <w:spacing w:val="-1"/>
          <w:sz w:val="28"/>
          <w:szCs w:val="28"/>
        </w:rPr>
        <w:t>务负责人作出书面说明，并将该说明材料归档入卷。</w:t>
      </w:r>
    </w:p>
    <w:p w14:paraId="083C171E">
      <w:pPr>
        <w:spacing w:before="48" w:line="354" w:lineRule="auto"/>
        <w:ind w:left="63" w:right="139" w:firstLine="540"/>
        <w:rPr>
          <w:rFonts w:ascii="仿宋" w:hAnsi="仿宋" w:eastAsia="仿宋" w:cs="仿宋"/>
          <w:sz w:val="28"/>
          <w:szCs w:val="28"/>
        </w:rPr>
      </w:pPr>
      <w:r>
        <w:rPr>
          <w:rFonts w:ascii="仿宋" w:hAnsi="仿宋" w:eastAsia="仿宋" w:cs="仿宋"/>
          <w:b/>
          <w:bCs/>
          <w:spacing w:val="-2"/>
          <w:sz w:val="28"/>
          <w:szCs w:val="28"/>
        </w:rPr>
        <w:t>第一百七十四条</w:t>
      </w:r>
      <w:r>
        <w:rPr>
          <w:rFonts w:ascii="仿宋" w:hAnsi="仿宋" w:eastAsia="仿宋" w:cs="仿宋"/>
          <w:spacing w:val="-2"/>
          <w:sz w:val="28"/>
          <w:szCs w:val="28"/>
        </w:rPr>
        <w:t xml:space="preserve"> 基金会编制档案号，一份档</w:t>
      </w:r>
      <w:r>
        <w:rPr>
          <w:rFonts w:ascii="仿宋" w:hAnsi="仿宋" w:eastAsia="仿宋" w:cs="仿宋"/>
          <w:spacing w:val="-3"/>
          <w:sz w:val="28"/>
          <w:szCs w:val="28"/>
        </w:rPr>
        <w:t>案只一个档案号，</w:t>
      </w:r>
      <w:r>
        <w:rPr>
          <w:rFonts w:ascii="仿宋" w:hAnsi="仿宋" w:eastAsia="仿宋" w:cs="仿宋"/>
          <w:sz w:val="28"/>
          <w:szCs w:val="28"/>
        </w:rPr>
        <w:t xml:space="preserve"> </w:t>
      </w:r>
      <w:r>
        <w:rPr>
          <w:rFonts w:ascii="仿宋" w:hAnsi="仿宋" w:eastAsia="仿宋" w:cs="仿宋"/>
          <w:spacing w:val="-3"/>
          <w:sz w:val="28"/>
          <w:szCs w:val="28"/>
        </w:rPr>
        <w:t>电子文档和实物资料共同组成一份完整的档案。</w:t>
      </w:r>
    </w:p>
    <w:p w14:paraId="0778BA12">
      <w:pPr>
        <w:spacing w:before="46" w:line="222" w:lineRule="auto"/>
        <w:ind w:left="2564"/>
        <w:rPr>
          <w:rFonts w:ascii="黑体" w:hAnsi="黑体" w:eastAsia="黑体" w:cs="黑体"/>
          <w:sz w:val="28"/>
          <w:szCs w:val="28"/>
        </w:rPr>
      </w:pPr>
      <w:r>
        <w:rPr>
          <w:rFonts w:ascii="黑体" w:hAnsi="黑体" w:eastAsia="黑体" w:cs="黑体"/>
          <w:b/>
          <w:bCs/>
          <w:spacing w:val="-4"/>
          <w:sz w:val="28"/>
          <w:szCs w:val="28"/>
        </w:rPr>
        <w:t>第五十四章</w:t>
      </w:r>
      <w:r>
        <w:rPr>
          <w:rFonts w:ascii="黑体" w:hAnsi="黑体" w:eastAsia="黑体" w:cs="黑体"/>
          <w:spacing w:val="-4"/>
          <w:sz w:val="28"/>
          <w:szCs w:val="28"/>
        </w:rPr>
        <w:t xml:space="preserve">  </w:t>
      </w:r>
      <w:r>
        <w:rPr>
          <w:rFonts w:ascii="黑体" w:hAnsi="黑体" w:eastAsia="黑体" w:cs="黑体"/>
          <w:b/>
          <w:bCs/>
          <w:spacing w:val="-4"/>
          <w:sz w:val="28"/>
          <w:szCs w:val="28"/>
        </w:rPr>
        <w:t>保管和利用</w:t>
      </w:r>
    </w:p>
    <w:p w14:paraId="5C3E0A44">
      <w:pPr>
        <w:spacing w:before="223" w:line="354" w:lineRule="auto"/>
        <w:ind w:left="60" w:right="80" w:firstLine="543"/>
        <w:rPr>
          <w:rFonts w:ascii="仿宋" w:hAnsi="仿宋" w:eastAsia="仿宋" w:cs="仿宋"/>
          <w:sz w:val="28"/>
          <w:szCs w:val="28"/>
        </w:rPr>
      </w:pPr>
      <w:r>
        <w:rPr>
          <w:rFonts w:ascii="仿宋" w:hAnsi="仿宋" w:eastAsia="仿宋" w:cs="仿宋"/>
          <w:b/>
          <w:bCs/>
          <w:sz w:val="28"/>
          <w:szCs w:val="28"/>
        </w:rPr>
        <w:t>第一百七十五条</w:t>
      </w:r>
      <w:r>
        <w:rPr>
          <w:rFonts w:ascii="仿宋" w:hAnsi="仿宋" w:eastAsia="仿宋" w:cs="仿宋"/>
          <w:sz w:val="28"/>
          <w:szCs w:val="28"/>
        </w:rPr>
        <w:t xml:space="preserve"> 基金会综合运营部为实物档案设存</w:t>
      </w:r>
      <w:r>
        <w:rPr>
          <w:rFonts w:ascii="仿宋" w:hAnsi="仿宋" w:eastAsia="仿宋" w:cs="仿宋"/>
          <w:spacing w:val="-1"/>
          <w:sz w:val="28"/>
          <w:szCs w:val="28"/>
        </w:rPr>
        <w:t>放档案的专</w:t>
      </w:r>
      <w:r>
        <w:rPr>
          <w:rFonts w:ascii="仿宋" w:hAnsi="仿宋" w:eastAsia="仿宋" w:cs="仿宋"/>
          <w:sz w:val="28"/>
          <w:szCs w:val="28"/>
        </w:rPr>
        <w:t xml:space="preserve"> </w:t>
      </w:r>
      <w:r>
        <w:rPr>
          <w:rFonts w:ascii="仿宋" w:hAnsi="仿宋" w:eastAsia="仿宋" w:cs="仿宋"/>
          <w:spacing w:val="-2"/>
          <w:sz w:val="28"/>
          <w:szCs w:val="28"/>
        </w:rPr>
        <w:t>门文件柜，并具备防火、防潮、防虫等安全</w:t>
      </w:r>
      <w:r>
        <w:rPr>
          <w:rFonts w:ascii="仿宋" w:hAnsi="仿宋" w:eastAsia="仿宋" w:cs="仿宋"/>
          <w:spacing w:val="-3"/>
          <w:sz w:val="28"/>
          <w:szCs w:val="28"/>
        </w:rPr>
        <w:t>条件。</w:t>
      </w:r>
    </w:p>
    <w:p w14:paraId="37C9F341">
      <w:pPr>
        <w:spacing w:before="45" w:line="360" w:lineRule="auto"/>
        <w:ind w:left="33" w:right="80" w:firstLine="570"/>
        <w:rPr>
          <w:rFonts w:ascii="仿宋" w:hAnsi="仿宋" w:eastAsia="仿宋" w:cs="仿宋"/>
          <w:sz w:val="28"/>
          <w:szCs w:val="28"/>
        </w:rPr>
      </w:pPr>
      <w:r>
        <w:rPr>
          <w:rFonts w:ascii="仿宋" w:hAnsi="仿宋" w:eastAsia="仿宋" w:cs="仿宋"/>
          <w:b/>
          <w:bCs/>
          <w:sz w:val="28"/>
          <w:szCs w:val="28"/>
        </w:rPr>
        <w:t>第一百七十六条</w:t>
      </w:r>
      <w:r>
        <w:rPr>
          <w:rFonts w:ascii="仿宋" w:hAnsi="仿宋" w:eastAsia="仿宋" w:cs="仿宋"/>
          <w:sz w:val="28"/>
          <w:szCs w:val="28"/>
        </w:rPr>
        <w:t xml:space="preserve"> 档案存放须采取科学地编制分类法</w:t>
      </w:r>
      <w:r>
        <w:rPr>
          <w:rFonts w:ascii="仿宋" w:hAnsi="仿宋" w:eastAsia="仿宋" w:cs="仿宋"/>
          <w:spacing w:val="-1"/>
          <w:sz w:val="28"/>
          <w:szCs w:val="28"/>
        </w:rPr>
        <w:t>，根据分类</w:t>
      </w:r>
      <w:r>
        <w:rPr>
          <w:rFonts w:ascii="仿宋" w:hAnsi="仿宋" w:eastAsia="仿宋" w:cs="仿宋"/>
          <w:sz w:val="28"/>
          <w:szCs w:val="28"/>
        </w:rPr>
        <w:t xml:space="preserve"> </w:t>
      </w:r>
      <w:r>
        <w:rPr>
          <w:rFonts w:ascii="仿宋" w:hAnsi="仿宋" w:eastAsia="仿宋" w:cs="仿宋"/>
          <w:spacing w:val="-4"/>
          <w:sz w:val="28"/>
          <w:szCs w:val="28"/>
        </w:rPr>
        <w:t>法，编制分类目录；同时根据需要编制专题目录，完善检索工具，以</w:t>
      </w:r>
      <w:r>
        <w:rPr>
          <w:rFonts w:ascii="仿宋" w:hAnsi="仿宋" w:eastAsia="仿宋" w:cs="仿宋"/>
          <w:spacing w:val="5"/>
          <w:sz w:val="28"/>
          <w:szCs w:val="28"/>
        </w:rPr>
        <w:t xml:space="preserve"> </w:t>
      </w:r>
      <w:r>
        <w:rPr>
          <w:rFonts w:ascii="仿宋" w:hAnsi="仿宋" w:eastAsia="仿宋" w:cs="仿宋"/>
          <w:spacing w:val="-4"/>
          <w:sz w:val="28"/>
          <w:szCs w:val="28"/>
        </w:rPr>
        <w:t>便于查找。</w:t>
      </w:r>
    </w:p>
    <w:p w14:paraId="72EA43C0">
      <w:pPr>
        <w:spacing w:before="43" w:line="361" w:lineRule="auto"/>
        <w:ind w:left="31" w:right="80" w:firstLine="572"/>
        <w:rPr>
          <w:rFonts w:ascii="仿宋" w:hAnsi="仿宋" w:eastAsia="仿宋" w:cs="仿宋"/>
          <w:sz w:val="28"/>
          <w:szCs w:val="28"/>
        </w:rPr>
      </w:pPr>
      <w:r>
        <w:rPr>
          <w:rFonts w:ascii="仿宋" w:hAnsi="仿宋" w:eastAsia="仿宋" w:cs="仿宋"/>
          <w:b/>
          <w:bCs/>
          <w:sz w:val="28"/>
          <w:szCs w:val="28"/>
        </w:rPr>
        <w:t>第一百七十七条</w:t>
      </w:r>
      <w:r>
        <w:rPr>
          <w:rFonts w:ascii="仿宋" w:hAnsi="仿宋" w:eastAsia="仿宋" w:cs="仿宋"/>
          <w:sz w:val="28"/>
          <w:szCs w:val="28"/>
        </w:rPr>
        <w:t xml:space="preserve"> 基金会综合运营部根据有关规定及</w:t>
      </w:r>
      <w:r>
        <w:rPr>
          <w:rFonts w:ascii="仿宋" w:hAnsi="仿宋" w:eastAsia="仿宋" w:cs="仿宋"/>
          <w:spacing w:val="-1"/>
          <w:sz w:val="28"/>
          <w:szCs w:val="28"/>
        </w:rPr>
        <w:t>基金会实际</w:t>
      </w:r>
      <w:r>
        <w:rPr>
          <w:rFonts w:ascii="仿宋" w:hAnsi="仿宋" w:eastAsia="仿宋" w:cs="仿宋"/>
          <w:sz w:val="28"/>
          <w:szCs w:val="28"/>
        </w:rPr>
        <w:t xml:space="preserve"> </w:t>
      </w:r>
      <w:r>
        <w:rPr>
          <w:rFonts w:ascii="仿宋" w:hAnsi="仿宋" w:eastAsia="仿宋" w:cs="仿宋"/>
          <w:spacing w:val="-4"/>
          <w:sz w:val="28"/>
          <w:szCs w:val="28"/>
        </w:rPr>
        <w:t>情况，确定档案保存期限，每年年终据此进行整理、剔除；经确定需</w:t>
      </w:r>
      <w:r>
        <w:rPr>
          <w:rFonts w:ascii="仿宋" w:hAnsi="仿宋" w:eastAsia="仿宋" w:cs="仿宋"/>
          <w:spacing w:val="7"/>
          <w:sz w:val="28"/>
          <w:szCs w:val="28"/>
        </w:rPr>
        <w:t xml:space="preserve"> </w:t>
      </w:r>
      <w:r>
        <w:rPr>
          <w:rFonts w:ascii="仿宋" w:hAnsi="仿宋" w:eastAsia="仿宋" w:cs="仿宋"/>
          <w:spacing w:val="-4"/>
          <w:sz w:val="28"/>
          <w:szCs w:val="28"/>
        </w:rPr>
        <w:t>销毁的档案，由档案保管人员编造销毁清册，经基金会领导批准后销</w:t>
      </w:r>
      <w:r>
        <w:rPr>
          <w:rFonts w:ascii="仿宋" w:hAnsi="仿宋" w:eastAsia="仿宋" w:cs="仿宋"/>
          <w:spacing w:val="7"/>
          <w:sz w:val="28"/>
          <w:szCs w:val="28"/>
        </w:rPr>
        <w:t xml:space="preserve"> </w:t>
      </w:r>
      <w:r>
        <w:rPr>
          <w:rFonts w:ascii="仿宋" w:hAnsi="仿宋" w:eastAsia="仿宋" w:cs="仿宋"/>
          <w:spacing w:val="-1"/>
          <w:sz w:val="28"/>
          <w:szCs w:val="28"/>
        </w:rPr>
        <w:t>毁。销毁的档案清单由档案保管人员永久保存。</w:t>
      </w:r>
    </w:p>
    <w:p w14:paraId="6A34D518">
      <w:pPr>
        <w:spacing w:before="50" w:line="359" w:lineRule="auto"/>
        <w:ind w:left="32" w:right="80" w:firstLine="571"/>
        <w:rPr>
          <w:rFonts w:ascii="仿宋" w:hAnsi="仿宋" w:eastAsia="仿宋" w:cs="仿宋"/>
          <w:sz w:val="28"/>
          <w:szCs w:val="28"/>
        </w:rPr>
      </w:pPr>
      <w:r>
        <w:rPr>
          <w:rFonts w:ascii="仿宋" w:hAnsi="仿宋" w:eastAsia="仿宋" w:cs="仿宋"/>
          <w:b/>
          <w:bCs/>
          <w:sz w:val="28"/>
          <w:szCs w:val="28"/>
        </w:rPr>
        <w:t>第一百七十八条</w:t>
      </w:r>
      <w:r>
        <w:rPr>
          <w:rFonts w:ascii="仿宋" w:hAnsi="仿宋" w:eastAsia="仿宋" w:cs="仿宋"/>
          <w:sz w:val="28"/>
          <w:szCs w:val="28"/>
        </w:rPr>
        <w:t xml:space="preserve"> 档案属于基金会机密文件，借阅须</w:t>
      </w:r>
      <w:r>
        <w:rPr>
          <w:rFonts w:ascii="仿宋" w:hAnsi="仿宋" w:eastAsia="仿宋" w:cs="仿宋"/>
          <w:spacing w:val="-1"/>
          <w:sz w:val="28"/>
          <w:szCs w:val="28"/>
        </w:rPr>
        <w:t>经相关负责</w:t>
      </w:r>
      <w:r>
        <w:rPr>
          <w:rFonts w:ascii="仿宋" w:hAnsi="仿宋" w:eastAsia="仿宋" w:cs="仿宋"/>
          <w:sz w:val="28"/>
          <w:szCs w:val="28"/>
        </w:rPr>
        <w:t xml:space="preserve"> </w:t>
      </w:r>
      <w:r>
        <w:rPr>
          <w:rFonts w:ascii="仿宋" w:hAnsi="仿宋" w:eastAsia="仿宋" w:cs="仿宋"/>
          <w:spacing w:val="-4"/>
          <w:sz w:val="28"/>
          <w:szCs w:val="28"/>
        </w:rPr>
        <w:t>人授权。阅档须在指定的地方，不得携带外出；需要借出档案的，须</w:t>
      </w:r>
      <w:r>
        <w:rPr>
          <w:rFonts w:ascii="仿宋" w:hAnsi="仿宋" w:eastAsia="仿宋" w:cs="仿宋"/>
          <w:spacing w:val="7"/>
          <w:sz w:val="28"/>
          <w:szCs w:val="28"/>
        </w:rPr>
        <w:t xml:space="preserve"> </w:t>
      </w:r>
      <w:r>
        <w:rPr>
          <w:rFonts w:ascii="仿宋" w:hAnsi="仿宋" w:eastAsia="仿宋" w:cs="仿宋"/>
          <w:spacing w:val="-2"/>
          <w:sz w:val="28"/>
          <w:szCs w:val="28"/>
        </w:rPr>
        <w:t>经部门总监或以上相关负责人批准。</w:t>
      </w:r>
    </w:p>
    <w:p w14:paraId="22DB2DEE">
      <w:pPr>
        <w:spacing w:before="44" w:line="221" w:lineRule="auto"/>
        <w:ind w:left="603"/>
        <w:rPr>
          <w:rFonts w:ascii="仿宋" w:hAnsi="仿宋" w:eastAsia="仿宋" w:cs="仿宋"/>
          <w:sz w:val="28"/>
          <w:szCs w:val="28"/>
        </w:rPr>
      </w:pPr>
      <w:r>
        <w:rPr>
          <w:rFonts w:ascii="仿宋" w:hAnsi="仿宋" w:eastAsia="仿宋" w:cs="仿宋"/>
          <w:b/>
          <w:bCs/>
          <w:spacing w:val="-2"/>
          <w:sz w:val="28"/>
          <w:szCs w:val="28"/>
        </w:rPr>
        <w:t>第一百七十九条</w:t>
      </w:r>
      <w:r>
        <w:rPr>
          <w:rFonts w:ascii="仿宋" w:hAnsi="仿宋" w:eastAsia="仿宋" w:cs="仿宋"/>
          <w:spacing w:val="-2"/>
          <w:sz w:val="28"/>
          <w:szCs w:val="28"/>
        </w:rPr>
        <w:t xml:space="preserve"> 借阅档案，必须履行登记、签收手续。</w:t>
      </w:r>
    </w:p>
    <w:p w14:paraId="004CF2BC">
      <w:pPr>
        <w:spacing w:before="227" w:line="359" w:lineRule="auto"/>
        <w:ind w:left="39" w:firstLine="564"/>
        <w:rPr>
          <w:rFonts w:ascii="仿宋" w:hAnsi="仿宋" w:eastAsia="仿宋" w:cs="仿宋"/>
          <w:sz w:val="28"/>
          <w:szCs w:val="28"/>
        </w:rPr>
      </w:pPr>
      <w:r>
        <w:rPr>
          <w:rFonts w:ascii="仿宋" w:hAnsi="仿宋" w:eastAsia="仿宋" w:cs="仿宋"/>
          <w:b/>
          <w:bCs/>
          <w:sz w:val="28"/>
          <w:szCs w:val="28"/>
        </w:rPr>
        <w:t>第一百八十条</w:t>
      </w:r>
      <w:r>
        <w:rPr>
          <w:rFonts w:ascii="仿宋" w:hAnsi="仿宋" w:eastAsia="仿宋" w:cs="仿宋"/>
          <w:sz w:val="28"/>
          <w:szCs w:val="28"/>
        </w:rPr>
        <w:t xml:space="preserve"> 借阅档案资料者必须妥善保管档案资料，不得任 </w:t>
      </w:r>
      <w:r>
        <w:rPr>
          <w:rFonts w:ascii="仿宋" w:hAnsi="仿宋" w:eastAsia="仿宋" w:cs="仿宋"/>
          <w:spacing w:val="-10"/>
          <w:sz w:val="28"/>
          <w:szCs w:val="28"/>
        </w:rPr>
        <w:t>意转借或复印、不得拆封、损污文件，归还时保</w:t>
      </w:r>
      <w:r>
        <w:rPr>
          <w:rFonts w:ascii="仿宋" w:hAnsi="仿宋" w:eastAsia="仿宋" w:cs="仿宋"/>
          <w:spacing w:val="-11"/>
          <w:sz w:val="28"/>
          <w:szCs w:val="28"/>
        </w:rPr>
        <w:t>证档案材料完整无损，</w:t>
      </w:r>
      <w:r>
        <w:rPr>
          <w:rFonts w:ascii="仿宋" w:hAnsi="仿宋" w:eastAsia="仿宋" w:cs="仿宋"/>
          <w:sz w:val="28"/>
          <w:szCs w:val="28"/>
        </w:rPr>
        <w:t xml:space="preserve"> </w:t>
      </w:r>
      <w:r>
        <w:rPr>
          <w:rFonts w:ascii="仿宋" w:hAnsi="仿宋" w:eastAsia="仿宋" w:cs="仿宋"/>
          <w:spacing w:val="-2"/>
          <w:sz w:val="28"/>
          <w:szCs w:val="28"/>
        </w:rPr>
        <w:t>否则，基金会会追究当事人责任。</w:t>
      </w:r>
    </w:p>
    <w:p w14:paraId="383D0A41">
      <w:pPr>
        <w:spacing w:line="359" w:lineRule="auto"/>
        <w:rPr>
          <w:rFonts w:ascii="仿宋" w:hAnsi="仿宋" w:eastAsia="仿宋" w:cs="仿宋"/>
          <w:sz w:val="28"/>
          <w:szCs w:val="28"/>
        </w:rPr>
        <w:sectPr>
          <w:pgSz w:w="11906" w:h="16839"/>
          <w:pgMar w:top="400" w:right="1718" w:bottom="400" w:left="1785" w:header="0" w:footer="850" w:gutter="0"/>
          <w:pgNumType w:fmt="decimal"/>
          <w:cols w:space="720" w:num="1"/>
        </w:sectPr>
      </w:pPr>
    </w:p>
    <w:p w14:paraId="5358F0C4">
      <w:pPr>
        <w:spacing w:line="287" w:lineRule="auto"/>
        <w:rPr>
          <w:rFonts w:ascii="Arial"/>
          <w:sz w:val="21"/>
        </w:rPr>
      </w:pPr>
    </w:p>
    <w:p w14:paraId="5F313B0A">
      <w:pPr>
        <w:spacing w:line="287" w:lineRule="auto"/>
        <w:rPr>
          <w:rFonts w:ascii="Arial"/>
          <w:sz w:val="21"/>
        </w:rPr>
      </w:pPr>
    </w:p>
    <w:p w14:paraId="1EA692AD">
      <w:pPr>
        <w:spacing w:line="288" w:lineRule="auto"/>
        <w:rPr>
          <w:rFonts w:ascii="Arial"/>
          <w:sz w:val="21"/>
        </w:rPr>
      </w:pPr>
    </w:p>
    <w:p w14:paraId="06462C09">
      <w:pPr>
        <w:spacing w:line="288" w:lineRule="auto"/>
        <w:rPr>
          <w:rFonts w:ascii="Arial"/>
          <w:sz w:val="21"/>
        </w:rPr>
      </w:pPr>
    </w:p>
    <w:p w14:paraId="1FD7E088">
      <w:pPr>
        <w:spacing w:before="91" w:line="222" w:lineRule="auto"/>
        <w:ind w:left="2705"/>
        <w:rPr>
          <w:rFonts w:ascii="黑体" w:hAnsi="黑体" w:eastAsia="黑体" w:cs="黑体"/>
          <w:sz w:val="28"/>
          <w:szCs w:val="28"/>
        </w:rPr>
      </w:pPr>
      <w:bookmarkStart w:id="23" w:name="bookmark27"/>
      <w:bookmarkEnd w:id="23"/>
      <w:r>
        <w:rPr>
          <w:rFonts w:ascii="黑体" w:hAnsi="黑体" w:eastAsia="黑体" w:cs="黑体"/>
          <w:b/>
          <w:bCs/>
          <w:spacing w:val="-4"/>
          <w:sz w:val="28"/>
          <w:szCs w:val="28"/>
        </w:rPr>
        <w:t>第五十五章</w:t>
      </w:r>
      <w:r>
        <w:rPr>
          <w:rFonts w:ascii="黑体" w:hAnsi="黑体" w:eastAsia="黑体" w:cs="黑体"/>
          <w:spacing w:val="-4"/>
          <w:sz w:val="28"/>
          <w:szCs w:val="28"/>
        </w:rPr>
        <w:t xml:space="preserve">  </w:t>
      </w:r>
      <w:r>
        <w:rPr>
          <w:rFonts w:ascii="黑体" w:hAnsi="黑体" w:eastAsia="黑体" w:cs="黑体"/>
          <w:b/>
          <w:bCs/>
          <w:spacing w:val="-4"/>
          <w:sz w:val="28"/>
          <w:szCs w:val="28"/>
        </w:rPr>
        <w:t>会计档案</w:t>
      </w:r>
    </w:p>
    <w:p w14:paraId="268C8E7D">
      <w:pPr>
        <w:spacing w:before="221" w:line="359" w:lineRule="auto"/>
        <w:ind w:left="36" w:right="13" w:firstLine="567"/>
        <w:jc w:val="both"/>
        <w:rPr>
          <w:rFonts w:ascii="仿宋" w:hAnsi="仿宋" w:eastAsia="仿宋" w:cs="仿宋"/>
          <w:sz w:val="28"/>
          <w:szCs w:val="28"/>
        </w:rPr>
      </w:pPr>
      <w:r>
        <w:rPr>
          <w:rFonts w:ascii="仿宋" w:hAnsi="仿宋" w:eastAsia="仿宋" w:cs="仿宋"/>
          <w:b/>
          <w:bCs/>
          <w:sz w:val="28"/>
          <w:szCs w:val="28"/>
        </w:rPr>
        <w:t>第一百八十一条</w:t>
      </w:r>
      <w:r>
        <w:rPr>
          <w:rFonts w:ascii="仿宋" w:hAnsi="仿宋" w:eastAsia="仿宋" w:cs="仿宋"/>
          <w:sz w:val="28"/>
          <w:szCs w:val="28"/>
        </w:rPr>
        <w:t xml:space="preserve"> 会计档案是记录和反映机构经济业</w:t>
      </w:r>
      <w:r>
        <w:rPr>
          <w:rFonts w:ascii="仿宋" w:hAnsi="仿宋" w:eastAsia="仿宋" w:cs="仿宋"/>
          <w:spacing w:val="-1"/>
          <w:sz w:val="28"/>
          <w:szCs w:val="28"/>
        </w:rPr>
        <w:t>务事项的重</w:t>
      </w:r>
      <w:r>
        <w:rPr>
          <w:rFonts w:ascii="仿宋" w:hAnsi="仿宋" w:eastAsia="仿宋" w:cs="仿宋"/>
          <w:sz w:val="28"/>
          <w:szCs w:val="28"/>
        </w:rPr>
        <w:t xml:space="preserve"> </w:t>
      </w:r>
      <w:r>
        <w:rPr>
          <w:rFonts w:ascii="仿宋" w:hAnsi="仿宋" w:eastAsia="仿宋" w:cs="仿宋"/>
          <w:spacing w:val="-4"/>
          <w:sz w:val="28"/>
          <w:szCs w:val="28"/>
        </w:rPr>
        <w:t>要历史资料和证据。会计档案包括会计凭证、会计账簿、财务报告以</w:t>
      </w:r>
      <w:r>
        <w:rPr>
          <w:rFonts w:ascii="仿宋" w:hAnsi="仿宋" w:eastAsia="仿宋" w:cs="仿宋"/>
          <w:spacing w:val="3"/>
          <w:sz w:val="28"/>
          <w:szCs w:val="28"/>
        </w:rPr>
        <w:t xml:space="preserve"> </w:t>
      </w:r>
      <w:r>
        <w:rPr>
          <w:rFonts w:ascii="仿宋" w:hAnsi="仿宋" w:eastAsia="仿宋" w:cs="仿宋"/>
          <w:spacing w:val="-3"/>
          <w:sz w:val="28"/>
          <w:szCs w:val="28"/>
        </w:rPr>
        <w:t>及其它会计资料。</w:t>
      </w:r>
    </w:p>
    <w:p w14:paraId="56858DCC">
      <w:pPr>
        <w:spacing w:before="45" w:line="360" w:lineRule="auto"/>
        <w:ind w:left="32" w:right="13" w:firstLine="571"/>
        <w:jc w:val="both"/>
        <w:rPr>
          <w:rFonts w:ascii="仿宋" w:hAnsi="仿宋" w:eastAsia="仿宋" w:cs="仿宋"/>
          <w:sz w:val="28"/>
          <w:szCs w:val="28"/>
        </w:rPr>
      </w:pPr>
      <w:r>
        <w:rPr>
          <w:rFonts w:ascii="仿宋" w:hAnsi="仿宋" w:eastAsia="仿宋" w:cs="仿宋"/>
          <w:b/>
          <w:bCs/>
          <w:sz w:val="28"/>
          <w:szCs w:val="28"/>
        </w:rPr>
        <w:t>第一百八十二条</w:t>
      </w:r>
      <w:r>
        <w:rPr>
          <w:rFonts w:ascii="仿宋" w:hAnsi="仿宋" w:eastAsia="仿宋" w:cs="仿宋"/>
          <w:sz w:val="28"/>
          <w:szCs w:val="28"/>
        </w:rPr>
        <w:t xml:space="preserve"> 基金会会计档案按照财政部、国家</w:t>
      </w:r>
      <w:r>
        <w:rPr>
          <w:rFonts w:ascii="仿宋" w:hAnsi="仿宋" w:eastAsia="仿宋" w:cs="仿宋"/>
          <w:spacing w:val="-1"/>
          <w:sz w:val="28"/>
          <w:szCs w:val="28"/>
        </w:rPr>
        <w:t>档案局《会</w:t>
      </w:r>
      <w:r>
        <w:rPr>
          <w:rFonts w:ascii="仿宋" w:hAnsi="仿宋" w:eastAsia="仿宋" w:cs="仿宋"/>
          <w:sz w:val="28"/>
          <w:szCs w:val="28"/>
        </w:rPr>
        <w:t xml:space="preserve"> </w:t>
      </w:r>
      <w:r>
        <w:rPr>
          <w:rFonts w:ascii="仿宋" w:hAnsi="仿宋" w:eastAsia="仿宋" w:cs="仿宋"/>
          <w:spacing w:val="-4"/>
          <w:sz w:val="28"/>
          <w:szCs w:val="28"/>
        </w:rPr>
        <w:t>计档案管理办法》执行，实行专人管理。会计档案由财务部门负责整</w:t>
      </w:r>
      <w:r>
        <w:rPr>
          <w:rFonts w:ascii="仿宋" w:hAnsi="仿宋" w:eastAsia="仿宋" w:cs="仿宋"/>
          <w:spacing w:val="6"/>
          <w:sz w:val="28"/>
          <w:szCs w:val="28"/>
        </w:rPr>
        <w:t xml:space="preserve"> </w:t>
      </w:r>
      <w:r>
        <w:rPr>
          <w:rFonts w:ascii="仿宋" w:hAnsi="仿宋" w:eastAsia="仿宋" w:cs="仿宋"/>
          <w:spacing w:val="-5"/>
          <w:sz w:val="28"/>
          <w:szCs w:val="28"/>
        </w:rPr>
        <w:t>理归档。</w:t>
      </w:r>
    </w:p>
    <w:p w14:paraId="23BB1867">
      <w:pPr>
        <w:spacing w:before="43" w:line="360" w:lineRule="auto"/>
        <w:ind w:left="32" w:right="13" w:firstLine="571"/>
        <w:jc w:val="both"/>
        <w:rPr>
          <w:rFonts w:ascii="仿宋" w:hAnsi="仿宋" w:eastAsia="仿宋" w:cs="仿宋"/>
          <w:sz w:val="28"/>
          <w:szCs w:val="28"/>
        </w:rPr>
      </w:pPr>
      <w:r>
        <w:rPr>
          <w:rFonts w:ascii="仿宋" w:hAnsi="仿宋" w:eastAsia="仿宋" w:cs="仿宋"/>
          <w:b/>
          <w:bCs/>
          <w:sz w:val="28"/>
          <w:szCs w:val="28"/>
        </w:rPr>
        <w:t>第一百八十三条</w:t>
      </w:r>
      <w:r>
        <w:rPr>
          <w:rFonts w:ascii="仿宋" w:hAnsi="仿宋" w:eastAsia="仿宋" w:cs="仿宋"/>
          <w:sz w:val="28"/>
          <w:szCs w:val="28"/>
        </w:rPr>
        <w:t xml:space="preserve"> 基金会会计档案不得外借，遇有特</w:t>
      </w:r>
      <w:r>
        <w:rPr>
          <w:rFonts w:ascii="仿宋" w:hAnsi="仿宋" w:eastAsia="仿宋" w:cs="仿宋"/>
          <w:spacing w:val="-1"/>
          <w:sz w:val="28"/>
          <w:szCs w:val="28"/>
        </w:rPr>
        <w:t>殊情况，须</w:t>
      </w:r>
      <w:r>
        <w:rPr>
          <w:rFonts w:ascii="仿宋" w:hAnsi="仿宋" w:eastAsia="仿宋" w:cs="仿宋"/>
          <w:sz w:val="28"/>
          <w:szCs w:val="28"/>
        </w:rPr>
        <w:t xml:space="preserve"> </w:t>
      </w:r>
      <w:r>
        <w:rPr>
          <w:rFonts w:ascii="仿宋" w:hAnsi="仿宋" w:eastAsia="仿宋" w:cs="仿宋"/>
          <w:spacing w:val="-4"/>
          <w:sz w:val="28"/>
          <w:szCs w:val="28"/>
        </w:rPr>
        <w:t>经财务负责人批准后，办理登记手续后，可以提供查阅或复制，查阅</w:t>
      </w:r>
      <w:r>
        <w:rPr>
          <w:rFonts w:ascii="仿宋" w:hAnsi="仿宋" w:eastAsia="仿宋" w:cs="仿宋"/>
          <w:spacing w:val="7"/>
          <w:sz w:val="28"/>
          <w:szCs w:val="28"/>
        </w:rPr>
        <w:t xml:space="preserve"> </w:t>
      </w:r>
      <w:r>
        <w:rPr>
          <w:rFonts w:ascii="仿宋" w:hAnsi="仿宋" w:eastAsia="仿宋" w:cs="仿宋"/>
          <w:spacing w:val="-2"/>
          <w:sz w:val="28"/>
          <w:szCs w:val="28"/>
        </w:rPr>
        <w:t>期间严禁篡改或涂改、毁损。</w:t>
      </w:r>
    </w:p>
    <w:p w14:paraId="4AE482B1">
      <w:pPr>
        <w:spacing w:before="45" w:line="361" w:lineRule="auto"/>
        <w:ind w:left="32" w:right="13" w:firstLine="571"/>
        <w:jc w:val="both"/>
        <w:rPr>
          <w:rFonts w:ascii="仿宋" w:hAnsi="仿宋" w:eastAsia="仿宋" w:cs="仿宋"/>
          <w:sz w:val="28"/>
          <w:szCs w:val="28"/>
        </w:rPr>
      </w:pPr>
      <w:r>
        <w:rPr>
          <w:rFonts w:ascii="仿宋" w:hAnsi="仿宋" w:eastAsia="仿宋" w:cs="仿宋"/>
          <w:b/>
          <w:bCs/>
          <w:sz w:val="28"/>
          <w:szCs w:val="28"/>
        </w:rPr>
        <w:t>第一百八十四条</w:t>
      </w:r>
      <w:r>
        <w:rPr>
          <w:rFonts w:ascii="仿宋" w:hAnsi="仿宋" w:eastAsia="仿宋" w:cs="仿宋"/>
          <w:sz w:val="28"/>
          <w:szCs w:val="28"/>
        </w:rPr>
        <w:t xml:space="preserve"> 基金会会计档案的保管期限分为永</w:t>
      </w:r>
      <w:r>
        <w:rPr>
          <w:rFonts w:ascii="仿宋" w:hAnsi="仿宋" w:eastAsia="仿宋" w:cs="仿宋"/>
          <w:spacing w:val="-1"/>
          <w:sz w:val="28"/>
          <w:szCs w:val="28"/>
        </w:rPr>
        <w:t>久、定期两</w:t>
      </w:r>
      <w:r>
        <w:rPr>
          <w:rFonts w:ascii="仿宋" w:hAnsi="仿宋" w:eastAsia="仿宋" w:cs="仿宋"/>
          <w:sz w:val="28"/>
          <w:szCs w:val="28"/>
        </w:rPr>
        <w:t xml:space="preserve"> </w:t>
      </w:r>
      <w:r>
        <w:rPr>
          <w:rFonts w:ascii="仿宋" w:hAnsi="仿宋" w:eastAsia="仿宋" w:cs="仿宋"/>
          <w:spacing w:val="-7"/>
          <w:sz w:val="28"/>
          <w:szCs w:val="28"/>
        </w:rPr>
        <w:t>类，定期保管期限分为</w:t>
      </w:r>
      <w:r>
        <w:rPr>
          <w:rFonts w:ascii="仿宋" w:hAnsi="仿宋" w:eastAsia="仿宋" w:cs="仿宋"/>
          <w:spacing w:val="-24"/>
          <w:sz w:val="28"/>
          <w:szCs w:val="28"/>
        </w:rPr>
        <w:t xml:space="preserve"> </w:t>
      </w:r>
      <w:r>
        <w:rPr>
          <w:rFonts w:ascii="仿宋" w:hAnsi="仿宋" w:eastAsia="仿宋" w:cs="仿宋"/>
          <w:spacing w:val="-7"/>
          <w:sz w:val="28"/>
          <w:szCs w:val="28"/>
        </w:rPr>
        <w:t>10</w:t>
      </w:r>
      <w:r>
        <w:rPr>
          <w:rFonts w:ascii="仿宋" w:hAnsi="仿宋" w:eastAsia="仿宋" w:cs="仿宋"/>
          <w:spacing w:val="-47"/>
          <w:sz w:val="28"/>
          <w:szCs w:val="28"/>
        </w:rPr>
        <w:t xml:space="preserve"> </w:t>
      </w:r>
      <w:r>
        <w:rPr>
          <w:rFonts w:ascii="仿宋" w:hAnsi="仿宋" w:eastAsia="仿宋" w:cs="仿宋"/>
          <w:spacing w:val="-7"/>
          <w:sz w:val="28"/>
          <w:szCs w:val="28"/>
        </w:rPr>
        <w:t>年和</w:t>
      </w:r>
      <w:r>
        <w:rPr>
          <w:rFonts w:ascii="仿宋" w:hAnsi="仿宋" w:eastAsia="仿宋" w:cs="仿宋"/>
          <w:spacing w:val="-58"/>
          <w:sz w:val="28"/>
          <w:szCs w:val="28"/>
        </w:rPr>
        <w:t xml:space="preserve"> </w:t>
      </w:r>
      <w:r>
        <w:rPr>
          <w:rFonts w:ascii="仿宋" w:hAnsi="仿宋" w:eastAsia="仿宋" w:cs="仿宋"/>
          <w:spacing w:val="-7"/>
          <w:sz w:val="28"/>
          <w:szCs w:val="28"/>
        </w:rPr>
        <w:t>30</w:t>
      </w:r>
      <w:r>
        <w:rPr>
          <w:rFonts w:ascii="仿宋" w:hAnsi="仿宋" w:eastAsia="仿宋" w:cs="仿宋"/>
          <w:spacing w:val="-47"/>
          <w:sz w:val="28"/>
          <w:szCs w:val="28"/>
        </w:rPr>
        <w:t xml:space="preserve"> </w:t>
      </w:r>
      <w:r>
        <w:rPr>
          <w:rFonts w:ascii="仿宋" w:hAnsi="仿宋" w:eastAsia="仿宋" w:cs="仿宋"/>
          <w:spacing w:val="-7"/>
          <w:sz w:val="28"/>
          <w:szCs w:val="28"/>
        </w:rPr>
        <w:t>年，按照财政部、国家档案局《会</w:t>
      </w:r>
      <w:r>
        <w:rPr>
          <w:rFonts w:ascii="仿宋" w:hAnsi="仿宋" w:eastAsia="仿宋" w:cs="仿宋"/>
          <w:sz w:val="28"/>
          <w:szCs w:val="28"/>
        </w:rPr>
        <w:t xml:space="preserve"> </w:t>
      </w:r>
      <w:r>
        <w:rPr>
          <w:rFonts w:ascii="仿宋" w:hAnsi="仿宋" w:eastAsia="仿宋" w:cs="仿宋"/>
          <w:spacing w:val="-4"/>
          <w:sz w:val="28"/>
          <w:szCs w:val="28"/>
        </w:rPr>
        <w:t>计档案管理办法》中所附会计档案保管期限表内容具体执行。会计档</w:t>
      </w:r>
      <w:r>
        <w:rPr>
          <w:rFonts w:ascii="仿宋" w:hAnsi="仿宋" w:eastAsia="仿宋" w:cs="仿宋"/>
          <w:spacing w:val="7"/>
          <w:sz w:val="28"/>
          <w:szCs w:val="28"/>
        </w:rPr>
        <w:t xml:space="preserve"> </w:t>
      </w:r>
      <w:r>
        <w:rPr>
          <w:rFonts w:ascii="仿宋" w:hAnsi="仿宋" w:eastAsia="仿宋" w:cs="仿宋"/>
          <w:spacing w:val="-1"/>
          <w:sz w:val="28"/>
          <w:szCs w:val="28"/>
        </w:rPr>
        <w:t>案的保管期限，从会计年度终了后的第一天起算。</w:t>
      </w:r>
    </w:p>
    <w:p w14:paraId="62EE3949">
      <w:pPr>
        <w:spacing w:before="47" w:line="359" w:lineRule="auto"/>
        <w:ind w:left="31" w:right="13" w:firstLine="572"/>
        <w:jc w:val="both"/>
        <w:rPr>
          <w:rFonts w:ascii="仿宋" w:hAnsi="仿宋" w:eastAsia="仿宋" w:cs="仿宋"/>
          <w:sz w:val="28"/>
          <w:szCs w:val="28"/>
        </w:rPr>
      </w:pPr>
      <w:r>
        <w:rPr>
          <w:rFonts w:ascii="仿宋" w:hAnsi="仿宋" w:eastAsia="仿宋" w:cs="仿宋"/>
          <w:b/>
          <w:bCs/>
          <w:sz w:val="28"/>
          <w:szCs w:val="28"/>
        </w:rPr>
        <w:t>第一百八十五条</w:t>
      </w:r>
      <w:r>
        <w:rPr>
          <w:rFonts w:ascii="仿宋" w:hAnsi="仿宋" w:eastAsia="仿宋" w:cs="仿宋"/>
          <w:sz w:val="28"/>
          <w:szCs w:val="28"/>
        </w:rPr>
        <w:t xml:space="preserve"> 销毁会计档案须按规定程序审批。</w:t>
      </w:r>
      <w:r>
        <w:rPr>
          <w:rFonts w:ascii="仿宋" w:hAnsi="仿宋" w:eastAsia="仿宋" w:cs="仿宋"/>
          <w:spacing w:val="-1"/>
          <w:sz w:val="28"/>
          <w:szCs w:val="28"/>
        </w:rPr>
        <w:t>对到期未了</w:t>
      </w:r>
      <w:r>
        <w:rPr>
          <w:rFonts w:ascii="仿宋" w:hAnsi="仿宋" w:eastAsia="仿宋" w:cs="仿宋"/>
          <w:sz w:val="28"/>
          <w:szCs w:val="28"/>
        </w:rPr>
        <w:t xml:space="preserve"> </w:t>
      </w:r>
      <w:r>
        <w:rPr>
          <w:rFonts w:ascii="仿宋" w:hAnsi="仿宋" w:eastAsia="仿宋" w:cs="仿宋"/>
          <w:spacing w:val="-4"/>
          <w:sz w:val="28"/>
          <w:szCs w:val="28"/>
        </w:rPr>
        <w:t>结的债权债务的原始凭证及其它未了事项的原始凭证不得销毁，单独</w:t>
      </w:r>
      <w:r>
        <w:rPr>
          <w:rFonts w:ascii="仿宋" w:hAnsi="仿宋" w:eastAsia="仿宋" w:cs="仿宋"/>
          <w:spacing w:val="7"/>
          <w:sz w:val="28"/>
          <w:szCs w:val="28"/>
        </w:rPr>
        <w:t xml:space="preserve"> </w:t>
      </w:r>
      <w:r>
        <w:rPr>
          <w:rFonts w:ascii="仿宋" w:hAnsi="仿宋" w:eastAsia="仿宋" w:cs="仿宋"/>
          <w:spacing w:val="-1"/>
          <w:sz w:val="28"/>
          <w:szCs w:val="28"/>
        </w:rPr>
        <w:t>抽出另行立卷，保管到未了事项完结时为止。</w:t>
      </w:r>
    </w:p>
    <w:p w14:paraId="09595C6E">
      <w:pPr>
        <w:spacing w:before="46" w:line="222" w:lineRule="auto"/>
        <w:ind w:left="2986"/>
        <w:rPr>
          <w:rFonts w:ascii="黑体" w:hAnsi="黑体" w:eastAsia="黑体" w:cs="黑体"/>
          <w:sz w:val="28"/>
          <w:szCs w:val="28"/>
        </w:rPr>
      </w:pPr>
      <w:r>
        <w:rPr>
          <w:rFonts w:ascii="黑体" w:hAnsi="黑体" w:eastAsia="黑体" w:cs="黑体"/>
          <w:b/>
          <w:bCs/>
          <w:spacing w:val="-8"/>
          <w:sz w:val="28"/>
          <w:szCs w:val="28"/>
        </w:rPr>
        <w:t>第五十六章</w:t>
      </w:r>
      <w:r>
        <w:rPr>
          <w:rFonts w:ascii="黑体" w:hAnsi="黑体" w:eastAsia="黑体" w:cs="黑体"/>
          <w:spacing w:val="12"/>
          <w:sz w:val="28"/>
          <w:szCs w:val="28"/>
        </w:rPr>
        <w:t xml:space="preserve">  </w:t>
      </w:r>
      <w:r>
        <w:rPr>
          <w:rFonts w:ascii="黑体" w:hAnsi="黑体" w:eastAsia="黑体" w:cs="黑体"/>
          <w:b/>
          <w:bCs/>
          <w:spacing w:val="-8"/>
          <w:sz w:val="28"/>
          <w:szCs w:val="28"/>
        </w:rPr>
        <w:t>附则</w:t>
      </w:r>
    </w:p>
    <w:p w14:paraId="3A9E5283">
      <w:pPr>
        <w:spacing w:before="224" w:line="353" w:lineRule="auto"/>
        <w:ind w:left="32" w:right="13" w:firstLine="571"/>
        <w:rPr>
          <w:rFonts w:ascii="仿宋" w:hAnsi="仿宋" w:eastAsia="仿宋" w:cs="仿宋"/>
          <w:sz w:val="28"/>
          <w:szCs w:val="28"/>
        </w:rPr>
      </w:pPr>
      <w:r>
        <w:rPr>
          <w:rFonts w:ascii="仿宋" w:hAnsi="仿宋" w:eastAsia="仿宋" w:cs="仿宋"/>
          <w:b/>
          <w:bCs/>
          <w:sz w:val="28"/>
          <w:szCs w:val="28"/>
        </w:rPr>
        <w:t>第一百八十六条</w:t>
      </w:r>
      <w:r>
        <w:rPr>
          <w:rFonts w:ascii="仿宋" w:hAnsi="仿宋" w:eastAsia="仿宋" w:cs="仿宋"/>
          <w:sz w:val="28"/>
          <w:szCs w:val="28"/>
        </w:rPr>
        <w:t xml:space="preserve"> 本办法适用于青海湖生态保护基金</w:t>
      </w:r>
      <w:r>
        <w:rPr>
          <w:rFonts w:ascii="仿宋" w:hAnsi="仿宋" w:eastAsia="仿宋" w:cs="仿宋"/>
          <w:spacing w:val="-1"/>
          <w:sz w:val="28"/>
          <w:szCs w:val="28"/>
        </w:rPr>
        <w:t>会财务和党</w:t>
      </w:r>
      <w:r>
        <w:rPr>
          <w:rFonts w:ascii="仿宋" w:hAnsi="仿宋" w:eastAsia="仿宋" w:cs="仿宋"/>
          <w:sz w:val="28"/>
          <w:szCs w:val="28"/>
        </w:rPr>
        <w:t xml:space="preserve"> </w:t>
      </w:r>
      <w:r>
        <w:rPr>
          <w:rFonts w:ascii="仿宋" w:hAnsi="仿宋" w:eastAsia="仿宋" w:cs="仿宋"/>
          <w:spacing w:val="-2"/>
          <w:sz w:val="28"/>
          <w:szCs w:val="28"/>
        </w:rPr>
        <w:t>支部以外工作的档案资料管理。</w:t>
      </w:r>
    </w:p>
    <w:p w14:paraId="4C0110ED">
      <w:pPr>
        <w:spacing w:before="47" w:line="355" w:lineRule="auto"/>
        <w:ind w:left="31" w:right="13" w:firstLine="572"/>
        <w:rPr>
          <w:rFonts w:ascii="仿宋" w:hAnsi="仿宋" w:eastAsia="仿宋" w:cs="仿宋"/>
          <w:sz w:val="28"/>
          <w:szCs w:val="28"/>
        </w:rPr>
      </w:pPr>
      <w:r>
        <w:rPr>
          <w:rFonts w:ascii="仿宋" w:hAnsi="仿宋" w:eastAsia="仿宋" w:cs="仿宋"/>
          <w:b/>
          <w:bCs/>
          <w:sz w:val="28"/>
          <w:szCs w:val="28"/>
        </w:rPr>
        <w:t>第一百八十七条</w:t>
      </w:r>
      <w:r>
        <w:rPr>
          <w:rFonts w:ascii="仿宋" w:hAnsi="仿宋" w:eastAsia="仿宋" w:cs="仿宋"/>
          <w:sz w:val="28"/>
          <w:szCs w:val="28"/>
        </w:rPr>
        <w:t xml:space="preserve"> 本制度自青海湖生态保护基金会理</w:t>
      </w:r>
      <w:r>
        <w:rPr>
          <w:rFonts w:ascii="仿宋" w:hAnsi="仿宋" w:eastAsia="仿宋" w:cs="仿宋"/>
          <w:spacing w:val="-1"/>
          <w:sz w:val="28"/>
          <w:szCs w:val="28"/>
        </w:rPr>
        <w:t>事会会议审</w:t>
      </w:r>
      <w:r>
        <w:rPr>
          <w:rFonts w:ascii="仿宋" w:hAnsi="仿宋" w:eastAsia="仿宋" w:cs="仿宋"/>
          <w:sz w:val="28"/>
          <w:szCs w:val="28"/>
        </w:rPr>
        <w:t xml:space="preserve"> </w:t>
      </w:r>
      <w:r>
        <w:rPr>
          <w:rFonts w:ascii="仿宋" w:hAnsi="仿宋" w:eastAsia="仿宋" w:cs="仿宋"/>
          <w:spacing w:val="-2"/>
          <w:sz w:val="28"/>
          <w:szCs w:val="28"/>
        </w:rPr>
        <w:t>议通过之日起施行。</w:t>
      </w:r>
    </w:p>
    <w:p w14:paraId="61EDDDF3">
      <w:pPr>
        <w:spacing w:line="355" w:lineRule="auto"/>
        <w:rPr>
          <w:rFonts w:ascii="仿宋" w:hAnsi="仿宋" w:eastAsia="仿宋" w:cs="仿宋"/>
          <w:sz w:val="28"/>
          <w:szCs w:val="28"/>
        </w:rPr>
        <w:sectPr>
          <w:pgSz w:w="11906" w:h="16839"/>
          <w:pgMar w:top="400" w:right="1785" w:bottom="400" w:left="1785" w:header="0" w:footer="850" w:gutter="0"/>
          <w:pgNumType w:fmt="decimal"/>
          <w:cols w:space="720" w:num="1"/>
        </w:sectPr>
      </w:pPr>
    </w:p>
    <w:p w14:paraId="37C7122C">
      <w:pPr>
        <w:spacing w:line="242" w:lineRule="auto"/>
        <w:rPr>
          <w:rFonts w:ascii="Arial"/>
          <w:sz w:val="21"/>
        </w:rPr>
      </w:pPr>
    </w:p>
    <w:p w14:paraId="6424E69A">
      <w:pPr>
        <w:spacing w:line="242" w:lineRule="auto"/>
        <w:rPr>
          <w:rFonts w:ascii="Arial"/>
          <w:sz w:val="21"/>
        </w:rPr>
      </w:pPr>
    </w:p>
    <w:p w14:paraId="562F0E2A">
      <w:pPr>
        <w:spacing w:line="242" w:lineRule="auto"/>
        <w:rPr>
          <w:rFonts w:ascii="Arial"/>
          <w:sz w:val="21"/>
        </w:rPr>
      </w:pPr>
    </w:p>
    <w:p w14:paraId="0818003F">
      <w:pPr>
        <w:spacing w:line="243" w:lineRule="auto"/>
        <w:rPr>
          <w:rFonts w:ascii="Arial"/>
          <w:sz w:val="21"/>
        </w:rPr>
      </w:pPr>
    </w:p>
    <w:p w14:paraId="6E79912F">
      <w:pPr>
        <w:spacing w:before="119" w:line="221" w:lineRule="auto"/>
        <w:ind w:left="415"/>
        <w:rPr>
          <w:rFonts w:ascii="方正舒体" w:hAnsi="方正舒体" w:eastAsia="方正舒体" w:cs="方正舒体"/>
          <w:sz w:val="35"/>
          <w:szCs w:val="35"/>
        </w:rPr>
      </w:pPr>
      <w:r>
        <w:rPr>
          <w:rFonts w:ascii="方正舒体" w:hAnsi="方正舒体" w:eastAsia="方正舒体" w:cs="方正舒体"/>
          <w:spacing w:val="8"/>
          <w:sz w:val="35"/>
          <w:szCs w:val="35"/>
        </w:rPr>
        <w:t>青海省青海湖生态保护基金会重大事项报告制度</w:t>
      </w:r>
    </w:p>
    <w:p w14:paraId="35ED2135">
      <w:pPr>
        <w:spacing w:line="412" w:lineRule="auto"/>
        <w:rPr>
          <w:rFonts w:ascii="Arial"/>
          <w:sz w:val="21"/>
        </w:rPr>
      </w:pPr>
    </w:p>
    <w:p w14:paraId="1E9CEF63">
      <w:pPr>
        <w:spacing w:before="91" w:line="222" w:lineRule="auto"/>
        <w:ind w:left="3193"/>
        <w:rPr>
          <w:rFonts w:ascii="黑体" w:hAnsi="黑体" w:eastAsia="黑体" w:cs="黑体"/>
          <w:sz w:val="28"/>
          <w:szCs w:val="28"/>
        </w:rPr>
      </w:pPr>
      <w:r>
        <w:rPr>
          <w:rFonts w:ascii="黑体" w:hAnsi="黑体" w:eastAsia="黑体" w:cs="黑体"/>
          <w:b/>
          <w:bCs/>
          <w:spacing w:val="-8"/>
          <w:sz w:val="28"/>
          <w:szCs w:val="28"/>
        </w:rPr>
        <w:t>第一章</w:t>
      </w:r>
      <w:r>
        <w:rPr>
          <w:rFonts w:ascii="黑体" w:hAnsi="黑体" w:eastAsia="黑体" w:cs="黑体"/>
          <w:spacing w:val="9"/>
          <w:sz w:val="28"/>
          <w:szCs w:val="28"/>
        </w:rPr>
        <w:t xml:space="preserve">  </w:t>
      </w:r>
      <w:r>
        <w:rPr>
          <w:rFonts w:ascii="黑体" w:hAnsi="黑体" w:eastAsia="黑体" w:cs="黑体"/>
          <w:b/>
          <w:bCs/>
          <w:spacing w:val="-8"/>
          <w:sz w:val="28"/>
          <w:szCs w:val="28"/>
        </w:rPr>
        <w:t>总</w:t>
      </w:r>
      <w:r>
        <w:rPr>
          <w:rFonts w:ascii="黑体" w:hAnsi="黑体" w:eastAsia="黑体" w:cs="黑体"/>
          <w:spacing w:val="6"/>
          <w:sz w:val="28"/>
          <w:szCs w:val="28"/>
        </w:rPr>
        <w:t xml:space="preserve">  </w:t>
      </w:r>
      <w:r>
        <w:rPr>
          <w:rFonts w:ascii="黑体" w:hAnsi="黑体" w:eastAsia="黑体" w:cs="黑体"/>
          <w:b/>
          <w:bCs/>
          <w:spacing w:val="-8"/>
          <w:sz w:val="28"/>
          <w:szCs w:val="28"/>
        </w:rPr>
        <w:t>则</w:t>
      </w:r>
    </w:p>
    <w:p w14:paraId="73305ECD">
      <w:pPr>
        <w:spacing w:before="224" w:line="364" w:lineRule="auto"/>
        <w:ind w:left="31" w:right="101" w:firstLine="572"/>
        <w:jc w:val="both"/>
        <w:rPr>
          <w:rFonts w:ascii="仿宋" w:hAnsi="仿宋" w:eastAsia="仿宋" w:cs="仿宋"/>
          <w:sz w:val="28"/>
          <w:szCs w:val="28"/>
        </w:rPr>
      </w:pPr>
      <w:r>
        <w:rPr>
          <w:rFonts w:ascii="仿宋" w:hAnsi="仿宋" w:eastAsia="仿宋" w:cs="仿宋"/>
          <w:b/>
          <w:bCs/>
          <w:sz w:val="28"/>
          <w:szCs w:val="28"/>
        </w:rPr>
        <w:t>第一条</w:t>
      </w:r>
      <w:r>
        <w:rPr>
          <w:rFonts w:ascii="仿宋" w:hAnsi="仿宋" w:eastAsia="仿宋" w:cs="仿宋"/>
          <w:sz w:val="28"/>
          <w:szCs w:val="28"/>
        </w:rPr>
        <w:t xml:space="preserve"> 为进一步加强社会力量参与青海湖生态保护，促进社会</w:t>
      </w:r>
      <w:r>
        <w:rPr>
          <w:rFonts w:ascii="仿宋" w:hAnsi="仿宋" w:eastAsia="仿宋" w:cs="仿宋"/>
          <w:spacing w:val="6"/>
          <w:sz w:val="28"/>
          <w:szCs w:val="28"/>
        </w:rPr>
        <w:t xml:space="preserve"> </w:t>
      </w:r>
      <w:r>
        <w:rPr>
          <w:rFonts w:ascii="仿宋" w:hAnsi="仿宋" w:eastAsia="仿宋" w:cs="仿宋"/>
          <w:spacing w:val="-4"/>
          <w:sz w:val="28"/>
          <w:szCs w:val="28"/>
        </w:rPr>
        <w:t>组织健康有序发展，依据《中华人民共和国慈善法》《基金会管理条</w:t>
      </w:r>
      <w:r>
        <w:rPr>
          <w:rFonts w:ascii="仿宋" w:hAnsi="仿宋" w:eastAsia="仿宋" w:cs="仿宋"/>
          <w:spacing w:val="7"/>
          <w:sz w:val="28"/>
          <w:szCs w:val="28"/>
        </w:rPr>
        <w:t xml:space="preserve"> </w:t>
      </w:r>
      <w:r>
        <w:rPr>
          <w:rFonts w:ascii="仿宋" w:hAnsi="仿宋" w:eastAsia="仿宋" w:cs="仿宋"/>
          <w:spacing w:val="-10"/>
          <w:sz w:val="28"/>
          <w:szCs w:val="28"/>
        </w:rPr>
        <w:t>例》《中共中央办公厅</w:t>
      </w:r>
      <w:r>
        <w:rPr>
          <w:rFonts w:ascii="仿宋" w:hAnsi="仿宋" w:eastAsia="仿宋" w:cs="仿宋"/>
          <w:spacing w:val="49"/>
          <w:sz w:val="28"/>
          <w:szCs w:val="28"/>
        </w:rPr>
        <w:t xml:space="preserve"> </w:t>
      </w:r>
      <w:r>
        <w:rPr>
          <w:rFonts w:ascii="仿宋" w:hAnsi="仿宋" w:eastAsia="仿宋" w:cs="仿宋"/>
          <w:spacing w:val="-10"/>
          <w:sz w:val="28"/>
          <w:szCs w:val="28"/>
        </w:rPr>
        <w:t>国务院办公厅关于改革社会组织管理制度</w:t>
      </w:r>
      <w:r>
        <w:rPr>
          <w:rFonts w:ascii="仿宋" w:hAnsi="仿宋" w:eastAsia="仿宋" w:cs="仿宋"/>
          <w:spacing w:val="-11"/>
          <w:sz w:val="28"/>
          <w:szCs w:val="28"/>
        </w:rPr>
        <w:t>促社</w:t>
      </w:r>
      <w:r>
        <w:rPr>
          <w:rFonts w:ascii="仿宋" w:hAnsi="仿宋" w:eastAsia="仿宋" w:cs="仿宋"/>
          <w:sz w:val="28"/>
          <w:szCs w:val="28"/>
        </w:rPr>
        <w:t xml:space="preserve"> </w:t>
      </w:r>
      <w:r>
        <w:rPr>
          <w:rFonts w:ascii="仿宋" w:hAnsi="仿宋" w:eastAsia="仿宋" w:cs="仿宋"/>
          <w:spacing w:val="-4"/>
          <w:sz w:val="28"/>
          <w:szCs w:val="28"/>
        </w:rPr>
        <w:t>会组织健康有序发展的意见》以及省委办公厅、省政府办公厅《关于</w:t>
      </w:r>
      <w:r>
        <w:rPr>
          <w:rFonts w:ascii="仿宋" w:hAnsi="仿宋" w:eastAsia="仿宋" w:cs="仿宋"/>
          <w:spacing w:val="7"/>
          <w:sz w:val="28"/>
          <w:szCs w:val="28"/>
        </w:rPr>
        <w:t xml:space="preserve"> </w:t>
      </w:r>
      <w:r>
        <w:rPr>
          <w:rFonts w:ascii="仿宋" w:hAnsi="仿宋" w:eastAsia="仿宋" w:cs="仿宋"/>
          <w:spacing w:val="-4"/>
          <w:sz w:val="28"/>
          <w:szCs w:val="28"/>
        </w:rPr>
        <w:t>加强和创新社会组织建设与管理的意见》等有关法律、法规和政策的</w:t>
      </w:r>
      <w:r>
        <w:rPr>
          <w:rFonts w:ascii="仿宋" w:hAnsi="仿宋" w:eastAsia="仿宋" w:cs="仿宋"/>
          <w:spacing w:val="7"/>
          <w:sz w:val="28"/>
          <w:szCs w:val="28"/>
        </w:rPr>
        <w:t xml:space="preserve"> </w:t>
      </w:r>
      <w:r>
        <w:rPr>
          <w:rFonts w:ascii="仿宋" w:hAnsi="仿宋" w:eastAsia="仿宋" w:cs="仿宋"/>
          <w:spacing w:val="-2"/>
          <w:sz w:val="28"/>
          <w:szCs w:val="28"/>
        </w:rPr>
        <w:t>规定，制定本制度。</w:t>
      </w:r>
    </w:p>
    <w:p w14:paraId="4A4D4A2E">
      <w:pPr>
        <w:pStyle w:val="2"/>
        <w:spacing w:before="45" w:line="353" w:lineRule="auto"/>
        <w:ind w:left="40" w:right="101" w:firstLine="563"/>
        <w:rPr>
          <w:rFonts w:ascii="仿宋" w:hAnsi="仿宋" w:eastAsia="仿宋" w:cs="仿宋"/>
        </w:rPr>
      </w:pPr>
      <w:r>
        <w:rPr>
          <w:rFonts w:ascii="仿宋" w:hAnsi="仿宋" w:eastAsia="仿宋" w:cs="仿宋"/>
          <w:b/>
          <w:bCs/>
        </w:rPr>
        <w:t>第二条</w:t>
      </w:r>
      <w:r>
        <w:rPr>
          <w:rFonts w:ascii="仿宋" w:hAnsi="仿宋" w:eastAsia="仿宋" w:cs="仿宋"/>
        </w:rPr>
        <w:t xml:space="preserve"> 本制度适用于青海省青海湖景区保护利用管理局主管的</w:t>
      </w:r>
      <w:r>
        <w:rPr>
          <w:rFonts w:ascii="仿宋" w:hAnsi="仿宋" w:eastAsia="仿宋" w:cs="仿宋"/>
          <w:spacing w:val="6"/>
        </w:rPr>
        <w:t xml:space="preserve"> </w:t>
      </w:r>
      <w:r>
        <w:rPr>
          <w:rFonts w:ascii="仿宋" w:hAnsi="仿宋" w:eastAsia="仿宋" w:cs="仿宋"/>
          <w:spacing w:val="-12"/>
        </w:rPr>
        <w:t>青海省青海湖生态保护基金会（</w:t>
      </w:r>
      <w:r>
        <w:rPr>
          <w:spacing w:val="-12"/>
        </w:rPr>
        <w:t>以下简称“</w:t>
      </w:r>
      <w:r>
        <w:rPr>
          <w:spacing w:val="-13"/>
        </w:rPr>
        <w:t>基金会</w:t>
      </w:r>
      <w:r>
        <w:rPr>
          <w:spacing w:val="-103"/>
        </w:rPr>
        <w:t xml:space="preserve"> </w:t>
      </w:r>
      <w:r>
        <w:rPr>
          <w:spacing w:val="-13"/>
        </w:rPr>
        <w:t>”</w:t>
      </w:r>
      <w:r>
        <w:rPr>
          <w:rFonts w:ascii="仿宋" w:hAnsi="仿宋" w:eastAsia="仿宋" w:cs="仿宋"/>
          <w:spacing w:val="-13"/>
        </w:rPr>
        <w:t>）。</w:t>
      </w:r>
    </w:p>
    <w:p w14:paraId="51BE2CE6">
      <w:pPr>
        <w:spacing w:before="47" w:line="359" w:lineRule="auto"/>
        <w:ind w:left="33" w:firstLine="570"/>
        <w:rPr>
          <w:rFonts w:ascii="仿宋" w:hAnsi="仿宋" w:eastAsia="仿宋" w:cs="仿宋"/>
          <w:sz w:val="28"/>
          <w:szCs w:val="28"/>
        </w:rPr>
      </w:pPr>
      <w:r>
        <w:rPr>
          <w:rFonts w:ascii="仿宋" w:hAnsi="仿宋" w:eastAsia="仿宋" w:cs="仿宋"/>
          <w:b/>
          <w:bCs/>
          <w:sz w:val="28"/>
          <w:szCs w:val="28"/>
        </w:rPr>
        <w:t>第三条</w:t>
      </w:r>
      <w:r>
        <w:rPr>
          <w:rFonts w:ascii="仿宋" w:hAnsi="仿宋" w:eastAsia="仿宋" w:cs="仿宋"/>
          <w:sz w:val="28"/>
          <w:szCs w:val="28"/>
        </w:rPr>
        <w:t xml:space="preserve"> 本制度所称重大事项，是指基金会需要审批和备案的事</w:t>
      </w:r>
      <w:r>
        <w:rPr>
          <w:rFonts w:ascii="仿宋" w:hAnsi="仿宋" w:eastAsia="仿宋" w:cs="仿宋"/>
          <w:spacing w:val="6"/>
          <w:sz w:val="28"/>
          <w:szCs w:val="28"/>
        </w:rPr>
        <w:t xml:space="preserve"> </w:t>
      </w:r>
      <w:r>
        <w:rPr>
          <w:rFonts w:ascii="仿宋" w:hAnsi="仿宋" w:eastAsia="仿宋" w:cs="仿宋"/>
          <w:spacing w:val="-4"/>
          <w:sz w:val="28"/>
          <w:szCs w:val="28"/>
        </w:rPr>
        <w:t>项以外，对基金会自身、服务对象、其他组织、个人和社会公众，可</w:t>
      </w:r>
      <w:r>
        <w:rPr>
          <w:rFonts w:ascii="仿宋" w:hAnsi="仿宋" w:eastAsia="仿宋" w:cs="仿宋"/>
          <w:spacing w:val="5"/>
          <w:sz w:val="28"/>
          <w:szCs w:val="28"/>
        </w:rPr>
        <w:t xml:space="preserve"> </w:t>
      </w:r>
      <w:r>
        <w:rPr>
          <w:rFonts w:ascii="仿宋" w:hAnsi="仿宋" w:eastAsia="仿宋" w:cs="仿宋"/>
          <w:spacing w:val="-10"/>
          <w:sz w:val="28"/>
          <w:szCs w:val="28"/>
        </w:rPr>
        <w:t>能产生较大影响的重大会议、重大变化、重大事件和重大活动等事项。</w:t>
      </w:r>
    </w:p>
    <w:p w14:paraId="245ACDAB">
      <w:pPr>
        <w:spacing w:before="49" w:line="359" w:lineRule="auto"/>
        <w:ind w:left="40" w:right="101" w:firstLine="563"/>
        <w:rPr>
          <w:rFonts w:ascii="仿宋" w:hAnsi="仿宋" w:eastAsia="仿宋" w:cs="仿宋"/>
          <w:sz w:val="28"/>
          <w:szCs w:val="28"/>
        </w:rPr>
      </w:pPr>
      <w:r>
        <w:rPr>
          <w:rFonts w:ascii="仿宋" w:hAnsi="仿宋" w:eastAsia="仿宋" w:cs="仿宋"/>
          <w:b/>
          <w:bCs/>
          <w:sz w:val="28"/>
          <w:szCs w:val="28"/>
        </w:rPr>
        <w:t>第四条</w:t>
      </w:r>
      <w:r>
        <w:rPr>
          <w:rFonts w:ascii="仿宋" w:hAnsi="仿宋" w:eastAsia="仿宋" w:cs="仿宋"/>
          <w:sz w:val="28"/>
          <w:szCs w:val="28"/>
        </w:rPr>
        <w:t xml:space="preserve"> 基金会重大事项报告分为报批类、报备类和即时报告类</w:t>
      </w:r>
      <w:r>
        <w:rPr>
          <w:rFonts w:ascii="仿宋" w:hAnsi="仿宋" w:eastAsia="仿宋" w:cs="仿宋"/>
          <w:spacing w:val="6"/>
          <w:sz w:val="28"/>
          <w:szCs w:val="28"/>
        </w:rPr>
        <w:t xml:space="preserve"> </w:t>
      </w:r>
      <w:r>
        <w:rPr>
          <w:rFonts w:ascii="仿宋" w:hAnsi="仿宋" w:eastAsia="仿宋" w:cs="仿宋"/>
          <w:spacing w:val="1"/>
          <w:sz w:val="28"/>
          <w:szCs w:val="28"/>
        </w:rPr>
        <w:t>三类。基金会在重大事项报告的同时，应依</w:t>
      </w:r>
      <w:r>
        <w:rPr>
          <w:rFonts w:ascii="仿宋" w:hAnsi="仿宋" w:eastAsia="仿宋" w:cs="仿宋"/>
          <w:sz w:val="28"/>
          <w:szCs w:val="28"/>
        </w:rPr>
        <w:t xml:space="preserve">法主 动进行信息公开， </w:t>
      </w:r>
      <w:r>
        <w:rPr>
          <w:rFonts w:ascii="仿宋" w:hAnsi="仿宋" w:eastAsia="仿宋" w:cs="仿宋"/>
          <w:spacing w:val="-3"/>
          <w:sz w:val="28"/>
          <w:szCs w:val="28"/>
        </w:rPr>
        <w:t>自觉接受社会监督。</w:t>
      </w:r>
    </w:p>
    <w:p w14:paraId="42E833CC">
      <w:pPr>
        <w:spacing w:before="46" w:line="222" w:lineRule="auto"/>
        <w:ind w:left="2917"/>
        <w:rPr>
          <w:rFonts w:ascii="黑体" w:hAnsi="黑体" w:eastAsia="黑体" w:cs="黑体"/>
          <w:sz w:val="28"/>
          <w:szCs w:val="28"/>
        </w:rPr>
      </w:pPr>
      <w:r>
        <w:rPr>
          <w:rFonts w:ascii="黑体" w:hAnsi="黑体" w:eastAsia="黑体" w:cs="黑体"/>
          <w:spacing w:val="-1"/>
          <w:sz w:val="28"/>
          <w:szCs w:val="28"/>
        </w:rPr>
        <w:t>第二章  报批类事项</w:t>
      </w:r>
    </w:p>
    <w:p w14:paraId="4B12BDE7">
      <w:pPr>
        <w:spacing w:before="223" w:line="223" w:lineRule="auto"/>
        <w:ind w:left="603"/>
        <w:rPr>
          <w:rFonts w:ascii="仿宋" w:hAnsi="仿宋" w:eastAsia="仿宋" w:cs="仿宋"/>
          <w:sz w:val="28"/>
          <w:szCs w:val="28"/>
        </w:rPr>
      </w:pPr>
      <w:r>
        <w:rPr>
          <w:rFonts w:ascii="仿宋" w:hAnsi="仿宋" w:eastAsia="仿宋" w:cs="仿宋"/>
          <w:b/>
          <w:bCs/>
          <w:spacing w:val="-2"/>
          <w:sz w:val="28"/>
          <w:szCs w:val="28"/>
        </w:rPr>
        <w:t>第五条</w:t>
      </w:r>
      <w:r>
        <w:rPr>
          <w:rFonts w:ascii="仿宋" w:hAnsi="仿宋" w:eastAsia="仿宋" w:cs="仿宋"/>
          <w:spacing w:val="-2"/>
          <w:sz w:val="28"/>
          <w:szCs w:val="28"/>
        </w:rPr>
        <w:t xml:space="preserve"> 本办法规定的基金会报批类事项包括：</w:t>
      </w:r>
    </w:p>
    <w:p w14:paraId="6179E538">
      <w:pPr>
        <w:spacing w:before="221" w:line="223" w:lineRule="auto"/>
        <w:ind w:left="453"/>
        <w:rPr>
          <w:rFonts w:ascii="仿宋" w:hAnsi="仿宋" w:eastAsia="仿宋" w:cs="仿宋"/>
          <w:sz w:val="28"/>
          <w:szCs w:val="28"/>
        </w:rPr>
      </w:pPr>
      <w:r>
        <w:rPr>
          <w:rFonts w:ascii="仿宋" w:hAnsi="仿宋" w:eastAsia="仿宋" w:cs="仿宋"/>
          <w:b/>
          <w:bCs/>
          <w:spacing w:val="-3"/>
          <w:sz w:val="28"/>
          <w:szCs w:val="28"/>
        </w:rPr>
        <w:t>（一）召开换届会议，基金会调整负责人或理事、监事。</w:t>
      </w:r>
    </w:p>
    <w:p w14:paraId="1EE4A848">
      <w:pPr>
        <w:spacing w:before="223" w:line="221" w:lineRule="auto"/>
        <w:ind w:left="603"/>
        <w:rPr>
          <w:rFonts w:ascii="仿宋" w:hAnsi="仿宋" w:eastAsia="仿宋" w:cs="仿宋"/>
          <w:sz w:val="28"/>
          <w:szCs w:val="28"/>
        </w:rPr>
      </w:pPr>
      <w:r>
        <w:rPr>
          <w:rFonts w:ascii="仿宋" w:hAnsi="仿宋" w:eastAsia="仿宋" w:cs="仿宋"/>
          <w:spacing w:val="-4"/>
          <w:sz w:val="28"/>
          <w:szCs w:val="28"/>
        </w:rPr>
        <w:t>1.基金会应当提前</w:t>
      </w:r>
      <w:r>
        <w:rPr>
          <w:rFonts w:ascii="仿宋" w:hAnsi="仿宋" w:eastAsia="仿宋" w:cs="仿宋"/>
          <w:spacing w:val="-23"/>
          <w:sz w:val="28"/>
          <w:szCs w:val="28"/>
        </w:rPr>
        <w:t xml:space="preserve"> </w:t>
      </w:r>
      <w:r>
        <w:rPr>
          <w:rFonts w:ascii="仿宋" w:hAnsi="仿宋" w:eastAsia="仿宋" w:cs="仿宋"/>
          <w:spacing w:val="-4"/>
          <w:sz w:val="28"/>
          <w:szCs w:val="28"/>
        </w:rPr>
        <w:t>1</w:t>
      </w:r>
      <w:r>
        <w:rPr>
          <w:rFonts w:ascii="仿宋" w:hAnsi="仿宋" w:eastAsia="仿宋" w:cs="仿宋"/>
          <w:spacing w:val="-52"/>
          <w:sz w:val="28"/>
          <w:szCs w:val="28"/>
        </w:rPr>
        <w:t xml:space="preserve"> </w:t>
      </w:r>
      <w:r>
        <w:rPr>
          <w:rFonts w:ascii="仿宋" w:hAnsi="仿宋" w:eastAsia="仿宋" w:cs="仿宋"/>
          <w:spacing w:val="-4"/>
          <w:sz w:val="28"/>
          <w:szCs w:val="28"/>
        </w:rPr>
        <w:t>个月向业务主管单位提交申请。</w:t>
      </w:r>
    </w:p>
    <w:p w14:paraId="350210A3">
      <w:pPr>
        <w:spacing w:before="222" w:line="362" w:lineRule="auto"/>
        <w:ind w:left="36" w:firstLine="550"/>
        <w:rPr>
          <w:rFonts w:ascii="仿宋" w:hAnsi="仿宋" w:eastAsia="仿宋" w:cs="仿宋"/>
          <w:sz w:val="28"/>
          <w:szCs w:val="28"/>
        </w:rPr>
      </w:pPr>
      <w:r>
        <w:rPr>
          <w:rFonts w:ascii="仿宋" w:hAnsi="仿宋" w:eastAsia="仿宋" w:cs="仿宋"/>
          <w:sz w:val="28"/>
          <w:szCs w:val="28"/>
        </w:rPr>
        <w:t>2.基金会召开换届会议的，</w:t>
      </w:r>
      <w:r>
        <w:rPr>
          <w:rFonts w:ascii="仿宋" w:hAnsi="仿宋" w:eastAsia="仿宋" w:cs="仿宋"/>
          <w:spacing w:val="-69"/>
          <w:sz w:val="28"/>
          <w:szCs w:val="28"/>
        </w:rPr>
        <w:t xml:space="preserve"> </w:t>
      </w:r>
      <w:r>
        <w:rPr>
          <w:rFonts w:ascii="仿宋" w:hAnsi="仿宋" w:eastAsia="仿宋" w:cs="仿宋"/>
          <w:sz w:val="28"/>
          <w:szCs w:val="28"/>
        </w:rPr>
        <w:t xml:space="preserve">申请内容主要包括:换届工作方案、 </w:t>
      </w:r>
      <w:r>
        <w:rPr>
          <w:rFonts w:ascii="仿宋" w:hAnsi="仿宋" w:eastAsia="仿宋" w:cs="仿宋"/>
          <w:spacing w:val="-4"/>
          <w:sz w:val="28"/>
          <w:szCs w:val="28"/>
        </w:rPr>
        <w:t>会议议程、会议审议事项以及本届理事会工作报告、财务报告、换届</w:t>
      </w:r>
      <w:r>
        <w:rPr>
          <w:rFonts w:ascii="仿宋" w:hAnsi="仿宋" w:eastAsia="仿宋" w:cs="仿宋"/>
          <w:spacing w:val="3"/>
          <w:sz w:val="28"/>
          <w:szCs w:val="28"/>
        </w:rPr>
        <w:t xml:space="preserve"> </w:t>
      </w:r>
      <w:r>
        <w:rPr>
          <w:rFonts w:ascii="仿宋" w:hAnsi="仿宋" w:eastAsia="仿宋" w:cs="仿宋"/>
          <w:spacing w:val="-10"/>
          <w:sz w:val="28"/>
          <w:szCs w:val="28"/>
        </w:rPr>
        <w:t>审计报告、新一届负责人人选、新一届理事人选、新一届监事人选等。</w:t>
      </w:r>
      <w:r>
        <w:rPr>
          <w:rFonts w:ascii="仿宋" w:hAnsi="仿宋" w:eastAsia="仿宋" w:cs="仿宋"/>
          <w:spacing w:val="15"/>
          <w:sz w:val="28"/>
          <w:szCs w:val="28"/>
        </w:rPr>
        <w:t xml:space="preserve"> </w:t>
      </w:r>
      <w:r>
        <w:rPr>
          <w:rFonts w:ascii="仿宋" w:hAnsi="仿宋" w:eastAsia="仿宋" w:cs="仿宋"/>
          <w:spacing w:val="-1"/>
          <w:sz w:val="28"/>
          <w:szCs w:val="28"/>
        </w:rPr>
        <w:t>涉及章程修改等重大审议事项，应当同时提交相应附件。</w:t>
      </w:r>
    </w:p>
    <w:p w14:paraId="08C240F9">
      <w:pPr>
        <w:spacing w:line="362" w:lineRule="auto"/>
        <w:rPr>
          <w:rFonts w:ascii="仿宋" w:hAnsi="仿宋" w:eastAsia="仿宋" w:cs="仿宋"/>
          <w:sz w:val="28"/>
          <w:szCs w:val="28"/>
        </w:rPr>
        <w:sectPr>
          <w:pgSz w:w="11906" w:h="16839"/>
          <w:pgMar w:top="400" w:right="1698" w:bottom="400" w:left="1785" w:header="0" w:footer="850" w:gutter="0"/>
          <w:pgNumType w:fmt="decimal"/>
          <w:cols w:space="720" w:num="1"/>
        </w:sectPr>
      </w:pPr>
    </w:p>
    <w:p w14:paraId="43B42B6D">
      <w:pPr>
        <w:spacing w:line="288" w:lineRule="auto"/>
        <w:rPr>
          <w:rFonts w:ascii="Arial"/>
          <w:sz w:val="21"/>
        </w:rPr>
      </w:pPr>
    </w:p>
    <w:p w14:paraId="068A6B82">
      <w:pPr>
        <w:spacing w:line="288" w:lineRule="auto"/>
        <w:rPr>
          <w:rFonts w:ascii="Arial"/>
          <w:sz w:val="21"/>
        </w:rPr>
      </w:pPr>
    </w:p>
    <w:p w14:paraId="39292612">
      <w:pPr>
        <w:spacing w:line="288" w:lineRule="auto"/>
        <w:rPr>
          <w:rFonts w:ascii="Arial"/>
          <w:sz w:val="21"/>
        </w:rPr>
      </w:pPr>
    </w:p>
    <w:p w14:paraId="07E1C78A">
      <w:pPr>
        <w:spacing w:line="289" w:lineRule="auto"/>
        <w:rPr>
          <w:rFonts w:ascii="Arial"/>
          <w:sz w:val="21"/>
        </w:rPr>
      </w:pPr>
    </w:p>
    <w:p w14:paraId="45AAE679">
      <w:pPr>
        <w:spacing w:before="91" w:line="364" w:lineRule="auto"/>
        <w:ind w:left="32" w:right="48" w:firstLine="556"/>
        <w:jc w:val="both"/>
        <w:rPr>
          <w:rFonts w:ascii="仿宋" w:hAnsi="仿宋" w:eastAsia="仿宋" w:cs="仿宋"/>
          <w:sz w:val="28"/>
          <w:szCs w:val="28"/>
        </w:rPr>
      </w:pPr>
      <w:r>
        <w:rPr>
          <w:rFonts w:ascii="仿宋" w:hAnsi="仿宋" w:eastAsia="仿宋" w:cs="仿宋"/>
          <w:spacing w:val="-1"/>
          <w:sz w:val="28"/>
          <w:szCs w:val="28"/>
        </w:rPr>
        <w:t>3.基金会调整负责人或理事、监事的，</w:t>
      </w:r>
      <w:r>
        <w:rPr>
          <w:rFonts w:ascii="仿宋" w:hAnsi="仿宋" w:eastAsia="仿宋" w:cs="仿宋"/>
          <w:spacing w:val="-79"/>
          <w:sz w:val="28"/>
          <w:szCs w:val="28"/>
        </w:rPr>
        <w:t xml:space="preserve"> </w:t>
      </w:r>
      <w:r>
        <w:rPr>
          <w:rFonts w:ascii="仿宋" w:hAnsi="仿宋" w:eastAsia="仿宋" w:cs="仿宋"/>
          <w:spacing w:val="-1"/>
          <w:sz w:val="28"/>
          <w:szCs w:val="28"/>
        </w:rPr>
        <w:t>申请内容主要包括:</w:t>
      </w:r>
      <w:r>
        <w:rPr>
          <w:rFonts w:ascii="仿宋" w:hAnsi="仿宋" w:eastAsia="仿宋" w:cs="仿宋"/>
          <w:spacing w:val="-2"/>
          <w:sz w:val="28"/>
          <w:szCs w:val="28"/>
        </w:rPr>
        <w:t>拟任</w:t>
      </w:r>
      <w:r>
        <w:rPr>
          <w:rFonts w:ascii="仿宋" w:hAnsi="仿宋" w:eastAsia="仿宋" w:cs="仿宋"/>
          <w:sz w:val="28"/>
          <w:szCs w:val="28"/>
        </w:rPr>
        <w:t xml:space="preserve"> </w:t>
      </w:r>
      <w:r>
        <w:rPr>
          <w:rFonts w:ascii="仿宋" w:hAnsi="仿宋" w:eastAsia="仿宋" w:cs="仿宋"/>
          <w:spacing w:val="-4"/>
          <w:sz w:val="28"/>
          <w:szCs w:val="28"/>
        </w:rPr>
        <w:t>人员名单、个人基本情况和所在单位人事部门意见、业务主管单位审</w:t>
      </w:r>
      <w:r>
        <w:rPr>
          <w:rFonts w:ascii="仿宋" w:hAnsi="仿宋" w:eastAsia="仿宋" w:cs="仿宋"/>
          <w:spacing w:val="7"/>
          <w:sz w:val="28"/>
          <w:szCs w:val="28"/>
        </w:rPr>
        <w:t xml:space="preserve"> </w:t>
      </w:r>
      <w:r>
        <w:rPr>
          <w:rFonts w:ascii="仿宋" w:hAnsi="仿宋" w:eastAsia="仿宋" w:cs="仿宋"/>
          <w:spacing w:val="-4"/>
          <w:sz w:val="28"/>
          <w:szCs w:val="28"/>
        </w:rPr>
        <w:t>查意见，主要负责人、法定代表人是否列入严重违法失信名单、失信</w:t>
      </w:r>
      <w:r>
        <w:rPr>
          <w:rFonts w:ascii="仿宋" w:hAnsi="仿宋" w:eastAsia="仿宋" w:cs="仿宋"/>
          <w:spacing w:val="7"/>
          <w:sz w:val="28"/>
          <w:szCs w:val="28"/>
        </w:rPr>
        <w:t xml:space="preserve"> </w:t>
      </w:r>
      <w:r>
        <w:rPr>
          <w:rFonts w:ascii="仿宋" w:hAnsi="仿宋" w:eastAsia="仿宋" w:cs="仿宋"/>
          <w:spacing w:val="-4"/>
          <w:sz w:val="28"/>
          <w:szCs w:val="28"/>
        </w:rPr>
        <w:t>和被执行人名单以及《无犯罪记录证明》等。国家机关工作人员在全</w:t>
      </w:r>
      <w:r>
        <w:rPr>
          <w:rFonts w:ascii="仿宋" w:hAnsi="仿宋" w:eastAsia="仿宋" w:cs="仿宋"/>
          <w:spacing w:val="7"/>
          <w:sz w:val="28"/>
          <w:szCs w:val="28"/>
        </w:rPr>
        <w:t xml:space="preserve"> </w:t>
      </w:r>
      <w:r>
        <w:rPr>
          <w:rFonts w:ascii="仿宋" w:hAnsi="仿宋" w:eastAsia="仿宋" w:cs="仿宋"/>
          <w:spacing w:val="-4"/>
          <w:sz w:val="28"/>
          <w:szCs w:val="28"/>
        </w:rPr>
        <w:t>省性社会组织兼职，应当提交按干部管理权限的组织部门出具的审批</w:t>
      </w:r>
      <w:r>
        <w:rPr>
          <w:rFonts w:ascii="仿宋" w:hAnsi="仿宋" w:eastAsia="仿宋" w:cs="仿宋"/>
          <w:spacing w:val="6"/>
          <w:sz w:val="28"/>
          <w:szCs w:val="28"/>
        </w:rPr>
        <w:t xml:space="preserve"> </w:t>
      </w:r>
      <w:r>
        <w:rPr>
          <w:rFonts w:ascii="仿宋" w:hAnsi="仿宋" w:eastAsia="仿宋" w:cs="仿宋"/>
          <w:spacing w:val="-5"/>
          <w:sz w:val="28"/>
          <w:szCs w:val="28"/>
        </w:rPr>
        <w:t>意见等。</w:t>
      </w:r>
    </w:p>
    <w:p w14:paraId="3EFEA988">
      <w:pPr>
        <w:spacing w:before="44" w:line="221" w:lineRule="auto"/>
        <w:ind w:left="581"/>
        <w:rPr>
          <w:rFonts w:ascii="仿宋" w:hAnsi="仿宋" w:eastAsia="仿宋" w:cs="仿宋"/>
          <w:sz w:val="28"/>
          <w:szCs w:val="28"/>
        </w:rPr>
      </w:pPr>
      <w:r>
        <w:rPr>
          <w:rFonts w:ascii="仿宋" w:hAnsi="仿宋" w:eastAsia="仿宋" w:cs="仿宋"/>
          <w:spacing w:val="-3"/>
          <w:sz w:val="28"/>
          <w:szCs w:val="28"/>
        </w:rPr>
        <w:t>4.基金会应当于会议结束后</w:t>
      </w:r>
      <w:r>
        <w:rPr>
          <w:rFonts w:ascii="仿宋" w:hAnsi="仿宋" w:eastAsia="仿宋" w:cs="仿宋"/>
          <w:spacing w:val="-28"/>
          <w:sz w:val="28"/>
          <w:szCs w:val="28"/>
        </w:rPr>
        <w:t xml:space="preserve"> </w:t>
      </w:r>
      <w:r>
        <w:rPr>
          <w:rFonts w:ascii="仿宋" w:hAnsi="仿宋" w:eastAsia="仿宋" w:cs="仿宋"/>
          <w:spacing w:val="-3"/>
          <w:sz w:val="28"/>
          <w:szCs w:val="28"/>
        </w:rPr>
        <w:t>1</w:t>
      </w:r>
      <w:r>
        <w:rPr>
          <w:rFonts w:ascii="仿宋" w:hAnsi="仿宋" w:eastAsia="仿宋" w:cs="仿宋"/>
          <w:spacing w:val="-49"/>
          <w:sz w:val="28"/>
          <w:szCs w:val="28"/>
        </w:rPr>
        <w:t xml:space="preserve"> </w:t>
      </w:r>
      <w:r>
        <w:rPr>
          <w:rFonts w:ascii="仿宋" w:hAnsi="仿宋" w:eastAsia="仿宋" w:cs="仿宋"/>
          <w:spacing w:val="-3"/>
          <w:sz w:val="28"/>
          <w:szCs w:val="28"/>
        </w:rPr>
        <w:t>个月内提交会议纪要。</w:t>
      </w:r>
    </w:p>
    <w:p w14:paraId="74A10BED">
      <w:pPr>
        <w:spacing w:before="222" w:line="355" w:lineRule="auto"/>
        <w:ind w:left="40" w:right="48" w:firstLine="412"/>
        <w:rPr>
          <w:rFonts w:ascii="仿宋" w:hAnsi="仿宋" w:eastAsia="仿宋" w:cs="仿宋"/>
          <w:sz w:val="28"/>
          <w:szCs w:val="28"/>
        </w:rPr>
      </w:pPr>
      <w:r>
        <w:rPr>
          <w:rFonts w:ascii="仿宋" w:hAnsi="仿宋" w:eastAsia="仿宋" w:cs="仿宋"/>
          <w:b/>
          <w:bCs/>
          <w:spacing w:val="-2"/>
          <w:sz w:val="28"/>
          <w:szCs w:val="28"/>
        </w:rPr>
        <w:t>（二）举办或承办讲座、论坛、讲坛、年会、报告会、研讨会等</w:t>
      </w:r>
      <w:r>
        <w:rPr>
          <w:rFonts w:ascii="仿宋" w:hAnsi="仿宋" w:eastAsia="仿宋" w:cs="仿宋"/>
          <w:sz w:val="28"/>
          <w:szCs w:val="28"/>
        </w:rPr>
        <w:t xml:space="preserve"> </w:t>
      </w:r>
      <w:r>
        <w:rPr>
          <w:rFonts w:ascii="仿宋" w:hAnsi="仿宋" w:eastAsia="仿宋" w:cs="仿宋"/>
          <w:b/>
          <w:bCs/>
          <w:spacing w:val="-12"/>
          <w:sz w:val="28"/>
          <w:szCs w:val="28"/>
        </w:rPr>
        <w:t>活动。</w:t>
      </w:r>
    </w:p>
    <w:p w14:paraId="567088BF">
      <w:pPr>
        <w:spacing w:before="45" w:line="221" w:lineRule="auto"/>
        <w:ind w:left="603"/>
        <w:rPr>
          <w:rFonts w:ascii="仿宋" w:hAnsi="仿宋" w:eastAsia="仿宋" w:cs="仿宋"/>
          <w:sz w:val="28"/>
          <w:szCs w:val="28"/>
        </w:rPr>
      </w:pPr>
      <w:r>
        <w:rPr>
          <w:rFonts w:ascii="仿宋" w:hAnsi="仿宋" w:eastAsia="仿宋" w:cs="仿宋"/>
          <w:spacing w:val="-4"/>
          <w:sz w:val="28"/>
          <w:szCs w:val="28"/>
        </w:rPr>
        <w:t>1.基金会应当提前</w:t>
      </w:r>
      <w:r>
        <w:rPr>
          <w:rFonts w:ascii="仿宋" w:hAnsi="仿宋" w:eastAsia="仿宋" w:cs="仿宋"/>
          <w:spacing w:val="-23"/>
          <w:sz w:val="28"/>
          <w:szCs w:val="28"/>
        </w:rPr>
        <w:t xml:space="preserve"> </w:t>
      </w:r>
      <w:r>
        <w:rPr>
          <w:rFonts w:ascii="仿宋" w:hAnsi="仿宋" w:eastAsia="仿宋" w:cs="仿宋"/>
          <w:spacing w:val="-4"/>
          <w:sz w:val="28"/>
          <w:szCs w:val="28"/>
        </w:rPr>
        <w:t>1</w:t>
      </w:r>
      <w:r>
        <w:rPr>
          <w:rFonts w:ascii="仿宋" w:hAnsi="仿宋" w:eastAsia="仿宋" w:cs="仿宋"/>
          <w:spacing w:val="-52"/>
          <w:sz w:val="28"/>
          <w:szCs w:val="28"/>
        </w:rPr>
        <w:t xml:space="preserve"> </w:t>
      </w:r>
      <w:r>
        <w:rPr>
          <w:rFonts w:ascii="仿宋" w:hAnsi="仿宋" w:eastAsia="仿宋" w:cs="仿宋"/>
          <w:spacing w:val="-4"/>
          <w:sz w:val="28"/>
          <w:szCs w:val="28"/>
        </w:rPr>
        <w:t>个月向业务主管单位提交申请。</w:t>
      </w:r>
    </w:p>
    <w:p w14:paraId="24370EB8">
      <w:pPr>
        <w:spacing w:before="225" w:line="359" w:lineRule="auto"/>
        <w:ind w:left="41" w:right="48" w:firstLine="544"/>
        <w:rPr>
          <w:rFonts w:ascii="仿宋" w:hAnsi="仿宋" w:eastAsia="仿宋" w:cs="仿宋"/>
          <w:sz w:val="28"/>
          <w:szCs w:val="28"/>
        </w:rPr>
      </w:pPr>
      <w:r>
        <w:rPr>
          <w:rFonts w:ascii="仿宋" w:hAnsi="仿宋" w:eastAsia="仿宋" w:cs="仿宋"/>
          <w:spacing w:val="1"/>
          <w:sz w:val="28"/>
          <w:szCs w:val="28"/>
        </w:rPr>
        <w:t>2.基金会申请内容主要包括:举办或承办有关活动的必要性、主</w:t>
      </w:r>
      <w:r>
        <w:rPr>
          <w:rFonts w:ascii="仿宋" w:hAnsi="仿宋" w:eastAsia="仿宋" w:cs="仿宋"/>
          <w:spacing w:val="4"/>
          <w:sz w:val="28"/>
          <w:szCs w:val="28"/>
        </w:rPr>
        <w:t xml:space="preserve"> </w:t>
      </w:r>
      <w:r>
        <w:rPr>
          <w:rFonts w:ascii="仿宋" w:hAnsi="仿宋" w:eastAsia="仿宋" w:cs="仿宋"/>
          <w:spacing w:val="-4"/>
          <w:sz w:val="28"/>
          <w:szCs w:val="28"/>
        </w:rPr>
        <w:t>办单位及承(协)办单位、活动主题和主要内容，举办时间、会期、地</w:t>
      </w:r>
      <w:r>
        <w:rPr>
          <w:rFonts w:ascii="仿宋" w:hAnsi="仿宋" w:eastAsia="仿宋" w:cs="仿宋"/>
          <w:spacing w:val="2"/>
          <w:sz w:val="28"/>
          <w:szCs w:val="28"/>
        </w:rPr>
        <w:t xml:space="preserve"> </w:t>
      </w:r>
      <w:r>
        <w:rPr>
          <w:rFonts w:ascii="仿宋" w:hAnsi="仿宋" w:eastAsia="仿宋" w:cs="仿宋"/>
          <w:spacing w:val="-2"/>
          <w:sz w:val="28"/>
          <w:szCs w:val="28"/>
        </w:rPr>
        <w:t>点、活动规模和参加人员范围、经费预算及来源等。</w:t>
      </w:r>
    </w:p>
    <w:p w14:paraId="63BD144C">
      <w:pPr>
        <w:spacing w:before="46" w:line="353" w:lineRule="auto"/>
        <w:ind w:left="44" w:right="48" w:firstLine="544"/>
        <w:rPr>
          <w:rFonts w:ascii="仿宋" w:hAnsi="仿宋" w:eastAsia="仿宋" w:cs="仿宋"/>
          <w:sz w:val="28"/>
          <w:szCs w:val="28"/>
        </w:rPr>
      </w:pPr>
      <w:r>
        <w:rPr>
          <w:rFonts w:ascii="仿宋" w:hAnsi="仿宋" w:eastAsia="仿宋" w:cs="仿宋"/>
          <w:spacing w:val="1"/>
          <w:sz w:val="28"/>
          <w:szCs w:val="28"/>
        </w:rPr>
        <w:t>3.基金会应当于活动结束后</w:t>
      </w:r>
      <w:r>
        <w:rPr>
          <w:rFonts w:ascii="仿宋" w:hAnsi="仿宋" w:eastAsia="仿宋" w:cs="仿宋"/>
          <w:spacing w:val="-15"/>
          <w:sz w:val="28"/>
          <w:szCs w:val="28"/>
        </w:rPr>
        <w:t xml:space="preserve"> </w:t>
      </w:r>
      <w:r>
        <w:rPr>
          <w:rFonts w:ascii="仿宋" w:hAnsi="仿宋" w:eastAsia="仿宋" w:cs="仿宋"/>
          <w:spacing w:val="1"/>
          <w:sz w:val="28"/>
          <w:szCs w:val="28"/>
        </w:rPr>
        <w:t>1</w:t>
      </w:r>
      <w:r>
        <w:rPr>
          <w:rFonts w:ascii="仿宋" w:hAnsi="仿宋" w:eastAsia="仿宋" w:cs="仿宋"/>
          <w:spacing w:val="-44"/>
          <w:sz w:val="28"/>
          <w:szCs w:val="28"/>
        </w:rPr>
        <w:t xml:space="preserve"> </w:t>
      </w:r>
      <w:r>
        <w:rPr>
          <w:rFonts w:ascii="仿宋" w:hAnsi="仿宋" w:eastAsia="仿宋" w:cs="仿宋"/>
          <w:spacing w:val="1"/>
          <w:sz w:val="28"/>
          <w:szCs w:val="28"/>
        </w:rPr>
        <w:t>个月内</w:t>
      </w:r>
      <w:r>
        <w:rPr>
          <w:rFonts w:ascii="仿宋" w:hAnsi="仿宋" w:eastAsia="仿宋" w:cs="仿宋"/>
          <w:spacing w:val="-79"/>
          <w:sz w:val="28"/>
          <w:szCs w:val="28"/>
        </w:rPr>
        <w:t xml:space="preserve"> </w:t>
      </w:r>
      <w:r>
        <w:rPr>
          <w:rFonts w:ascii="仿宋" w:hAnsi="仿宋" w:eastAsia="仿宋" w:cs="仿宋"/>
          <w:spacing w:val="1"/>
          <w:sz w:val="28"/>
          <w:szCs w:val="28"/>
        </w:rPr>
        <w:t>向业务主管单位提交活动</w:t>
      </w:r>
      <w:r>
        <w:rPr>
          <w:rFonts w:ascii="仿宋" w:hAnsi="仿宋" w:eastAsia="仿宋" w:cs="仿宋"/>
          <w:sz w:val="28"/>
          <w:szCs w:val="28"/>
        </w:rPr>
        <w:t xml:space="preserve"> </w:t>
      </w:r>
      <w:r>
        <w:rPr>
          <w:rFonts w:ascii="仿宋" w:hAnsi="仿宋" w:eastAsia="仿宋" w:cs="仿宋"/>
          <w:spacing w:val="-1"/>
          <w:sz w:val="28"/>
          <w:szCs w:val="28"/>
        </w:rPr>
        <w:t>总结，包括活动基本情况、主要成效、经费筹集及开支</w:t>
      </w:r>
      <w:r>
        <w:rPr>
          <w:rFonts w:ascii="仿宋" w:hAnsi="仿宋" w:eastAsia="仿宋" w:cs="仿宋"/>
          <w:spacing w:val="-2"/>
          <w:sz w:val="28"/>
          <w:szCs w:val="28"/>
        </w:rPr>
        <w:t>情况等。</w:t>
      </w:r>
    </w:p>
    <w:p w14:paraId="37028F00">
      <w:pPr>
        <w:spacing w:before="49" w:line="221" w:lineRule="auto"/>
        <w:ind w:left="632"/>
        <w:rPr>
          <w:rFonts w:ascii="仿宋" w:hAnsi="仿宋" w:eastAsia="仿宋" w:cs="仿宋"/>
          <w:sz w:val="28"/>
          <w:szCs w:val="28"/>
        </w:rPr>
      </w:pPr>
      <w:r>
        <w:rPr>
          <w:rFonts w:ascii="仿宋" w:hAnsi="仿宋" w:eastAsia="仿宋" w:cs="仿宋"/>
          <w:b/>
          <w:bCs/>
          <w:spacing w:val="-6"/>
          <w:sz w:val="28"/>
          <w:szCs w:val="28"/>
        </w:rPr>
        <w:t>(三)邀请省级领导参加活动或会议。</w:t>
      </w:r>
    </w:p>
    <w:p w14:paraId="3C8AFE06">
      <w:pPr>
        <w:spacing w:before="223" w:line="353" w:lineRule="auto"/>
        <w:ind w:left="39" w:right="48" w:firstLine="564"/>
        <w:rPr>
          <w:rFonts w:ascii="仿宋" w:hAnsi="仿宋" w:eastAsia="仿宋" w:cs="仿宋"/>
          <w:sz w:val="28"/>
          <w:szCs w:val="28"/>
        </w:rPr>
      </w:pPr>
      <w:r>
        <w:rPr>
          <w:rFonts w:ascii="仿宋" w:hAnsi="仿宋" w:eastAsia="仿宋" w:cs="仿宋"/>
          <w:spacing w:val="-6"/>
          <w:sz w:val="28"/>
          <w:szCs w:val="28"/>
        </w:rPr>
        <w:t>1.基金会拟邀请省级领导的，应当提前</w:t>
      </w:r>
      <w:r>
        <w:rPr>
          <w:rFonts w:ascii="仿宋" w:hAnsi="仿宋" w:eastAsia="仿宋" w:cs="仿宋"/>
          <w:spacing w:val="-39"/>
          <w:sz w:val="28"/>
          <w:szCs w:val="28"/>
        </w:rPr>
        <w:t xml:space="preserve"> </w:t>
      </w:r>
      <w:r>
        <w:rPr>
          <w:rFonts w:ascii="仿宋" w:hAnsi="仿宋" w:eastAsia="仿宋" w:cs="仿宋"/>
          <w:spacing w:val="-6"/>
          <w:sz w:val="28"/>
          <w:szCs w:val="28"/>
        </w:rPr>
        <w:t>1</w:t>
      </w:r>
      <w:r>
        <w:rPr>
          <w:rFonts w:ascii="仿宋" w:hAnsi="仿宋" w:eastAsia="仿宋" w:cs="仿宋"/>
          <w:spacing w:val="-52"/>
          <w:sz w:val="28"/>
          <w:szCs w:val="28"/>
        </w:rPr>
        <w:t xml:space="preserve"> </w:t>
      </w:r>
      <w:r>
        <w:rPr>
          <w:rFonts w:ascii="仿宋" w:hAnsi="仿宋" w:eastAsia="仿宋" w:cs="仿宋"/>
          <w:spacing w:val="-6"/>
          <w:sz w:val="28"/>
          <w:szCs w:val="28"/>
        </w:rPr>
        <w:t>个月向业务主管单位提</w:t>
      </w:r>
      <w:r>
        <w:rPr>
          <w:rFonts w:ascii="仿宋" w:hAnsi="仿宋" w:eastAsia="仿宋" w:cs="仿宋"/>
          <w:sz w:val="28"/>
          <w:szCs w:val="28"/>
        </w:rPr>
        <w:t xml:space="preserve"> </w:t>
      </w:r>
      <w:r>
        <w:rPr>
          <w:rFonts w:ascii="仿宋" w:hAnsi="仿宋" w:eastAsia="仿宋" w:cs="仿宋"/>
          <w:spacing w:val="-7"/>
          <w:sz w:val="28"/>
          <w:szCs w:val="28"/>
        </w:rPr>
        <w:t>交申请。</w:t>
      </w:r>
    </w:p>
    <w:p w14:paraId="41015139">
      <w:pPr>
        <w:spacing w:before="50" w:line="355" w:lineRule="auto"/>
        <w:ind w:left="40" w:firstLine="545"/>
        <w:rPr>
          <w:rFonts w:ascii="仿宋" w:hAnsi="仿宋" w:eastAsia="仿宋" w:cs="仿宋"/>
          <w:sz w:val="28"/>
          <w:szCs w:val="28"/>
        </w:rPr>
      </w:pPr>
      <w:r>
        <w:rPr>
          <w:rFonts w:ascii="仿宋" w:hAnsi="仿宋" w:eastAsia="仿宋" w:cs="仿宋"/>
          <w:spacing w:val="-2"/>
          <w:sz w:val="28"/>
          <w:szCs w:val="28"/>
        </w:rPr>
        <w:t>2.基金会申请内容主要包括：活动主题、活动方案(会议议程)、</w:t>
      </w:r>
      <w:r>
        <w:rPr>
          <w:rFonts w:ascii="仿宋" w:hAnsi="仿宋" w:eastAsia="仿宋" w:cs="仿宋"/>
          <w:spacing w:val="1"/>
          <w:sz w:val="28"/>
          <w:szCs w:val="28"/>
        </w:rPr>
        <w:t xml:space="preserve"> </w:t>
      </w:r>
      <w:r>
        <w:rPr>
          <w:rFonts w:ascii="仿宋" w:hAnsi="仿宋" w:eastAsia="仿宋" w:cs="仿宋"/>
          <w:spacing w:val="-4"/>
          <w:sz w:val="28"/>
          <w:szCs w:val="28"/>
        </w:rPr>
        <w:t>主要参会人员等。</w:t>
      </w:r>
    </w:p>
    <w:p w14:paraId="403CCDA7">
      <w:pPr>
        <w:spacing w:before="43" w:line="223" w:lineRule="auto"/>
        <w:ind w:left="453"/>
        <w:rPr>
          <w:rFonts w:ascii="仿宋" w:hAnsi="仿宋" w:eastAsia="仿宋" w:cs="仿宋"/>
          <w:sz w:val="28"/>
          <w:szCs w:val="28"/>
        </w:rPr>
      </w:pPr>
      <w:r>
        <w:rPr>
          <w:rFonts w:ascii="仿宋" w:hAnsi="仿宋" w:eastAsia="仿宋" w:cs="仿宋"/>
          <w:b/>
          <w:bCs/>
          <w:spacing w:val="-3"/>
          <w:sz w:val="28"/>
          <w:szCs w:val="28"/>
        </w:rPr>
        <w:t>（四）出国(境)开展交流活动或参加会议、论坛、培训。</w:t>
      </w:r>
    </w:p>
    <w:p w14:paraId="7EB47D91">
      <w:pPr>
        <w:spacing w:before="223" w:line="223" w:lineRule="auto"/>
        <w:ind w:left="591"/>
        <w:rPr>
          <w:rFonts w:ascii="仿宋" w:hAnsi="仿宋" w:eastAsia="仿宋" w:cs="仿宋"/>
          <w:sz w:val="28"/>
          <w:szCs w:val="28"/>
        </w:rPr>
      </w:pPr>
      <w:r>
        <w:rPr>
          <w:rFonts w:ascii="仿宋" w:hAnsi="仿宋" w:eastAsia="仿宋" w:cs="仿宋"/>
          <w:spacing w:val="-3"/>
          <w:sz w:val="28"/>
          <w:szCs w:val="28"/>
        </w:rPr>
        <w:t>报批内容包括：</w:t>
      </w:r>
    </w:p>
    <w:p w14:paraId="600FCE16">
      <w:pPr>
        <w:pStyle w:val="2"/>
        <w:spacing w:before="267" w:line="219" w:lineRule="auto"/>
        <w:ind w:left="622"/>
      </w:pPr>
      <w:r>
        <w:rPr>
          <w:rFonts w:ascii="Times New Roman" w:hAnsi="Times New Roman" w:eastAsia="Times New Roman" w:cs="Times New Roman"/>
          <w:spacing w:val="10"/>
        </w:rPr>
        <w:t>1.</w:t>
      </w:r>
      <w:r>
        <w:rPr>
          <w:spacing w:val="10"/>
        </w:rPr>
        <w:t>基金会应当提前</w:t>
      </w:r>
      <w:r>
        <w:rPr>
          <w:spacing w:val="-40"/>
        </w:rPr>
        <w:t xml:space="preserve"> </w:t>
      </w:r>
      <w:r>
        <w:rPr>
          <w:rFonts w:ascii="Times New Roman" w:hAnsi="Times New Roman" w:eastAsia="Times New Roman" w:cs="Times New Roman"/>
          <w:spacing w:val="10"/>
        </w:rPr>
        <w:t>2</w:t>
      </w:r>
      <w:r>
        <w:rPr>
          <w:rFonts w:ascii="Times New Roman" w:hAnsi="Times New Roman" w:eastAsia="Times New Roman" w:cs="Times New Roman"/>
          <w:spacing w:val="-25"/>
        </w:rPr>
        <w:t xml:space="preserve"> </w:t>
      </w:r>
      <w:r>
        <w:rPr>
          <w:spacing w:val="10"/>
        </w:rPr>
        <w:t>个月向业务主管单位提交申请。</w:t>
      </w:r>
    </w:p>
    <w:p w14:paraId="1DD8E3EE">
      <w:pPr>
        <w:spacing w:line="254" w:lineRule="auto"/>
        <w:rPr>
          <w:rFonts w:ascii="Arial"/>
          <w:sz w:val="21"/>
        </w:rPr>
      </w:pPr>
    </w:p>
    <w:p w14:paraId="0CE13C7C">
      <w:pPr>
        <w:pStyle w:val="2"/>
        <w:spacing w:before="91" w:line="220" w:lineRule="auto"/>
        <w:ind w:left="576"/>
      </w:pPr>
      <w:r>
        <w:rPr>
          <w:rFonts w:ascii="Times New Roman" w:hAnsi="Times New Roman" w:eastAsia="Times New Roman" w:cs="Times New Roman"/>
          <w:spacing w:val="-3"/>
        </w:rPr>
        <w:t>2.</w:t>
      </w:r>
      <w:r>
        <w:rPr>
          <w:rFonts w:ascii="Times New Roman" w:hAnsi="Times New Roman" w:eastAsia="Times New Roman" w:cs="Times New Roman"/>
          <w:spacing w:val="-23"/>
        </w:rPr>
        <w:t xml:space="preserve"> </w:t>
      </w:r>
      <w:r>
        <w:rPr>
          <w:spacing w:val="-3"/>
        </w:rPr>
        <w:t>申请内容主要包括：出国（境）事由、目的、邀请单位、出访</w:t>
      </w:r>
    </w:p>
    <w:p w14:paraId="64169B1A">
      <w:pPr>
        <w:spacing w:line="220" w:lineRule="auto"/>
        <w:sectPr>
          <w:pgSz w:w="11906" w:h="16839"/>
          <w:pgMar w:top="400" w:right="1751" w:bottom="400" w:left="1785" w:header="0" w:footer="850" w:gutter="0"/>
          <w:pgNumType w:fmt="decimal"/>
          <w:cols w:space="720" w:num="1"/>
        </w:sectPr>
      </w:pPr>
    </w:p>
    <w:p w14:paraId="5D03A965">
      <w:pPr>
        <w:spacing w:line="287" w:lineRule="auto"/>
        <w:rPr>
          <w:rFonts w:ascii="Arial"/>
          <w:sz w:val="21"/>
        </w:rPr>
      </w:pPr>
    </w:p>
    <w:p w14:paraId="32B94162">
      <w:pPr>
        <w:spacing w:line="287" w:lineRule="auto"/>
        <w:rPr>
          <w:rFonts w:ascii="Arial"/>
          <w:sz w:val="21"/>
        </w:rPr>
      </w:pPr>
    </w:p>
    <w:p w14:paraId="00B771AA">
      <w:pPr>
        <w:spacing w:line="288" w:lineRule="auto"/>
        <w:rPr>
          <w:rFonts w:ascii="Arial"/>
          <w:sz w:val="21"/>
        </w:rPr>
      </w:pPr>
    </w:p>
    <w:p w14:paraId="1EFCC16C">
      <w:pPr>
        <w:spacing w:line="288" w:lineRule="auto"/>
        <w:rPr>
          <w:rFonts w:ascii="Arial"/>
          <w:sz w:val="21"/>
        </w:rPr>
      </w:pPr>
    </w:p>
    <w:p w14:paraId="13074C0E">
      <w:pPr>
        <w:pStyle w:val="2"/>
        <w:spacing w:before="91" w:line="220" w:lineRule="auto"/>
        <w:ind w:left="27"/>
      </w:pPr>
      <w:r>
        <w:rPr>
          <w:spacing w:val="8"/>
        </w:rPr>
        <w:t>人员、</w:t>
      </w:r>
      <w:r>
        <w:rPr>
          <w:spacing w:val="-50"/>
        </w:rPr>
        <w:t xml:space="preserve"> </w:t>
      </w:r>
      <w:r>
        <w:rPr>
          <w:spacing w:val="8"/>
        </w:rPr>
        <w:t>日程安排、停留时间、往返路线和经费来源等。</w:t>
      </w:r>
    </w:p>
    <w:p w14:paraId="1123D1F9">
      <w:pPr>
        <w:spacing w:line="251" w:lineRule="auto"/>
        <w:rPr>
          <w:rFonts w:ascii="Arial"/>
          <w:sz w:val="21"/>
        </w:rPr>
      </w:pPr>
    </w:p>
    <w:p w14:paraId="0FE6384D">
      <w:pPr>
        <w:pStyle w:val="2"/>
        <w:spacing w:before="91" w:line="355" w:lineRule="auto"/>
        <w:ind w:left="31" w:right="115" w:firstLine="593"/>
      </w:pPr>
      <w:r>
        <w:rPr>
          <w:rFonts w:ascii="Times New Roman" w:hAnsi="Times New Roman" w:eastAsia="Times New Roman" w:cs="Times New Roman"/>
          <w:spacing w:val="16"/>
        </w:rPr>
        <w:t>3.</w:t>
      </w:r>
      <w:r>
        <w:rPr>
          <w:spacing w:val="16"/>
        </w:rPr>
        <w:t>基金会应当于活动结束后</w:t>
      </w:r>
      <w:r>
        <w:rPr>
          <w:spacing w:val="-11"/>
        </w:rPr>
        <w:t xml:space="preserve"> </w:t>
      </w:r>
      <w:r>
        <w:rPr>
          <w:rFonts w:ascii="Times New Roman" w:hAnsi="Times New Roman" w:eastAsia="Times New Roman" w:cs="Times New Roman"/>
          <w:spacing w:val="16"/>
        </w:rPr>
        <w:t>1</w:t>
      </w:r>
      <w:r>
        <w:rPr>
          <w:rFonts w:ascii="Times New Roman" w:hAnsi="Times New Roman" w:eastAsia="Times New Roman" w:cs="Times New Roman"/>
          <w:spacing w:val="-22"/>
        </w:rPr>
        <w:t xml:space="preserve"> </w:t>
      </w:r>
      <w:r>
        <w:rPr>
          <w:spacing w:val="16"/>
        </w:rPr>
        <w:t>个月内向业务主管单位提交总</w:t>
      </w:r>
      <w:r>
        <w:t xml:space="preserve"> </w:t>
      </w:r>
      <w:r>
        <w:rPr>
          <w:spacing w:val="4"/>
        </w:rPr>
        <w:t>结报告。</w:t>
      </w:r>
    </w:p>
    <w:p w14:paraId="62D73169">
      <w:pPr>
        <w:spacing w:before="165" w:line="221" w:lineRule="auto"/>
        <w:ind w:left="453"/>
        <w:rPr>
          <w:rFonts w:ascii="仿宋" w:hAnsi="仿宋" w:eastAsia="仿宋" w:cs="仿宋"/>
          <w:sz w:val="28"/>
          <w:szCs w:val="28"/>
        </w:rPr>
      </w:pPr>
      <w:r>
        <w:rPr>
          <w:rFonts w:ascii="仿宋" w:hAnsi="仿宋" w:eastAsia="仿宋" w:cs="仿宋"/>
          <w:b/>
          <w:bCs/>
          <w:spacing w:val="-3"/>
          <w:sz w:val="28"/>
          <w:szCs w:val="28"/>
        </w:rPr>
        <w:t>（五）基金会按时参加年度年报年检工作。</w:t>
      </w:r>
    </w:p>
    <w:p w14:paraId="1266CB8E">
      <w:pPr>
        <w:spacing w:before="223" w:line="354" w:lineRule="auto"/>
        <w:ind w:left="32" w:right="101" w:firstLine="571"/>
        <w:rPr>
          <w:rFonts w:ascii="仿宋" w:hAnsi="仿宋" w:eastAsia="仿宋" w:cs="仿宋"/>
          <w:sz w:val="28"/>
          <w:szCs w:val="28"/>
        </w:rPr>
      </w:pPr>
      <w:r>
        <w:rPr>
          <w:rFonts w:ascii="仿宋" w:hAnsi="仿宋" w:eastAsia="仿宋" w:cs="仿宋"/>
          <w:spacing w:val="-4"/>
          <w:sz w:val="28"/>
          <w:szCs w:val="28"/>
        </w:rPr>
        <w:t>1.基金会按时向业务主管单位报送年度工作</w:t>
      </w:r>
      <w:r>
        <w:rPr>
          <w:rFonts w:ascii="仿宋" w:hAnsi="仿宋" w:eastAsia="仿宋" w:cs="仿宋"/>
          <w:spacing w:val="-5"/>
          <w:sz w:val="28"/>
          <w:szCs w:val="28"/>
        </w:rPr>
        <w:t>报告、年度财务会计</w:t>
      </w:r>
      <w:r>
        <w:rPr>
          <w:rFonts w:ascii="仿宋" w:hAnsi="仿宋" w:eastAsia="仿宋" w:cs="仿宋"/>
          <w:sz w:val="28"/>
          <w:szCs w:val="28"/>
        </w:rPr>
        <w:t xml:space="preserve"> </w:t>
      </w:r>
      <w:r>
        <w:rPr>
          <w:rFonts w:ascii="仿宋" w:hAnsi="仿宋" w:eastAsia="仿宋" w:cs="仿宋"/>
          <w:spacing w:val="-6"/>
          <w:sz w:val="28"/>
          <w:szCs w:val="28"/>
        </w:rPr>
        <w:t>报告。</w:t>
      </w:r>
    </w:p>
    <w:p w14:paraId="61D0505D">
      <w:pPr>
        <w:spacing w:before="47" w:line="353" w:lineRule="auto"/>
        <w:ind w:left="41" w:firstLine="544"/>
        <w:rPr>
          <w:rFonts w:ascii="仿宋" w:hAnsi="仿宋" w:eastAsia="仿宋" w:cs="仿宋"/>
          <w:sz w:val="28"/>
          <w:szCs w:val="28"/>
        </w:rPr>
      </w:pPr>
      <w:r>
        <w:rPr>
          <w:rFonts w:ascii="仿宋" w:hAnsi="仿宋" w:eastAsia="仿宋" w:cs="仿宋"/>
          <w:sz w:val="28"/>
          <w:szCs w:val="28"/>
        </w:rPr>
        <w:t>2.在慈善中国在线填写完成年度工作报告、年度财</w:t>
      </w:r>
      <w:r>
        <w:rPr>
          <w:rFonts w:ascii="仿宋" w:hAnsi="仿宋" w:eastAsia="仿宋" w:cs="仿宋"/>
          <w:spacing w:val="-1"/>
          <w:sz w:val="28"/>
          <w:szCs w:val="28"/>
        </w:rPr>
        <w:t>务会计报告，</w:t>
      </w:r>
      <w:r>
        <w:rPr>
          <w:rFonts w:ascii="仿宋" w:hAnsi="仿宋" w:eastAsia="仿宋" w:cs="仿宋"/>
          <w:sz w:val="28"/>
          <w:szCs w:val="28"/>
        </w:rPr>
        <w:t xml:space="preserve"> </w:t>
      </w:r>
      <w:r>
        <w:rPr>
          <w:rFonts w:ascii="仿宋" w:hAnsi="仿宋" w:eastAsia="仿宋" w:cs="仿宋"/>
          <w:spacing w:val="-10"/>
          <w:sz w:val="28"/>
          <w:szCs w:val="28"/>
        </w:rPr>
        <w:t>法定代表人、监事签名后，加盖本组织印章后报送业务主管单位审核。</w:t>
      </w:r>
    </w:p>
    <w:p w14:paraId="2CB34B35">
      <w:pPr>
        <w:spacing w:before="47" w:line="354" w:lineRule="auto"/>
        <w:ind w:left="40" w:right="101" w:firstLine="548"/>
        <w:rPr>
          <w:rFonts w:ascii="仿宋" w:hAnsi="仿宋" w:eastAsia="仿宋" w:cs="仿宋"/>
          <w:sz w:val="28"/>
          <w:szCs w:val="28"/>
        </w:rPr>
      </w:pPr>
      <w:r>
        <w:rPr>
          <w:rFonts w:ascii="仿宋" w:hAnsi="仿宋" w:eastAsia="仿宋" w:cs="仿宋"/>
          <w:spacing w:val="-4"/>
          <w:sz w:val="28"/>
          <w:szCs w:val="28"/>
        </w:rPr>
        <w:t>3.将业务主管单位审核后的年度工作报告、年度财务会计报告报</w:t>
      </w:r>
      <w:r>
        <w:rPr>
          <w:rFonts w:ascii="仿宋" w:hAnsi="仿宋" w:eastAsia="仿宋" w:cs="仿宋"/>
          <w:spacing w:val="6"/>
          <w:sz w:val="28"/>
          <w:szCs w:val="28"/>
        </w:rPr>
        <w:t xml:space="preserve"> </w:t>
      </w:r>
      <w:r>
        <w:rPr>
          <w:rFonts w:ascii="仿宋" w:hAnsi="仿宋" w:eastAsia="仿宋" w:cs="仿宋"/>
          <w:spacing w:val="-1"/>
          <w:sz w:val="28"/>
          <w:szCs w:val="28"/>
        </w:rPr>
        <w:t>送至省民政厅，经省民政厅审核后在慈善中国向社会公开。</w:t>
      </w:r>
    </w:p>
    <w:p w14:paraId="4C1C291D">
      <w:pPr>
        <w:spacing w:before="48" w:line="222" w:lineRule="auto"/>
        <w:ind w:left="453"/>
        <w:rPr>
          <w:rFonts w:ascii="仿宋" w:hAnsi="仿宋" w:eastAsia="仿宋" w:cs="仿宋"/>
          <w:sz w:val="28"/>
          <w:szCs w:val="28"/>
        </w:rPr>
      </w:pPr>
      <w:r>
        <w:rPr>
          <w:rFonts w:ascii="仿宋" w:hAnsi="仿宋" w:eastAsia="仿宋" w:cs="仿宋"/>
          <w:b/>
          <w:bCs/>
          <w:spacing w:val="-4"/>
          <w:sz w:val="28"/>
          <w:szCs w:val="28"/>
        </w:rPr>
        <w:t>（六）其他依法依规应当报批的事项。</w:t>
      </w:r>
    </w:p>
    <w:p w14:paraId="460BBD79">
      <w:pPr>
        <w:spacing w:before="221" w:line="222" w:lineRule="auto"/>
        <w:ind w:left="2989"/>
        <w:rPr>
          <w:rFonts w:ascii="黑体" w:hAnsi="黑体" w:eastAsia="黑体" w:cs="黑体"/>
          <w:sz w:val="28"/>
          <w:szCs w:val="28"/>
        </w:rPr>
      </w:pPr>
      <w:r>
        <w:rPr>
          <w:rFonts w:ascii="黑体" w:hAnsi="黑体" w:eastAsia="黑体" w:cs="黑体"/>
          <w:spacing w:val="-2"/>
          <w:sz w:val="28"/>
          <w:szCs w:val="28"/>
        </w:rPr>
        <w:t>第三章 报备类事项</w:t>
      </w:r>
    </w:p>
    <w:p w14:paraId="540CFB79">
      <w:pPr>
        <w:pStyle w:val="2"/>
        <w:spacing w:before="273" w:line="434" w:lineRule="auto"/>
        <w:ind w:left="469" w:right="1904" w:firstLine="138"/>
      </w:pPr>
      <w:r>
        <w:rPr>
          <w:b/>
          <w:bCs/>
          <w:spacing w:val="7"/>
        </w:rPr>
        <w:t>第六条</w:t>
      </w:r>
      <w:r>
        <w:rPr>
          <w:spacing w:val="7"/>
        </w:rPr>
        <w:t xml:space="preserve"> 本办法规定的基金会报备类事项包括：</w:t>
      </w:r>
      <w:r>
        <w:rPr>
          <w:spacing w:val="12"/>
        </w:rPr>
        <w:t xml:space="preserve"> </w:t>
      </w:r>
      <w:r>
        <w:rPr>
          <w:b/>
          <w:bCs/>
          <w:spacing w:val="7"/>
        </w:rPr>
        <w:t>（一）年度工作计划和年度工作总结。</w:t>
      </w:r>
    </w:p>
    <w:p w14:paraId="61B94727">
      <w:pPr>
        <w:pStyle w:val="2"/>
        <w:spacing w:before="41" w:line="219" w:lineRule="auto"/>
        <w:ind w:left="608"/>
      </w:pPr>
      <w:r>
        <w:rPr>
          <w:spacing w:val="8"/>
        </w:rPr>
        <w:t>基金会应当于每年</w:t>
      </w:r>
      <w:r>
        <w:rPr>
          <w:spacing w:val="-23"/>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25"/>
          <w:w w:val="101"/>
        </w:rPr>
        <w:t xml:space="preserve"> </w:t>
      </w:r>
      <w:r>
        <w:rPr>
          <w:spacing w:val="8"/>
        </w:rPr>
        <w:t>月底前向业务主管单位提交相</w:t>
      </w:r>
      <w:r>
        <w:rPr>
          <w:spacing w:val="7"/>
        </w:rPr>
        <w:t>关材料。</w:t>
      </w:r>
    </w:p>
    <w:p w14:paraId="5CE80531">
      <w:pPr>
        <w:spacing w:line="256" w:lineRule="auto"/>
        <w:rPr>
          <w:rFonts w:ascii="Arial"/>
          <w:sz w:val="21"/>
        </w:rPr>
      </w:pPr>
    </w:p>
    <w:p w14:paraId="122A0331">
      <w:pPr>
        <w:pStyle w:val="2"/>
        <w:spacing w:before="91" w:line="220" w:lineRule="auto"/>
        <w:ind w:left="469"/>
      </w:pPr>
      <w:r>
        <w:rPr>
          <w:b/>
          <w:bCs/>
          <w:spacing w:val="7"/>
        </w:rPr>
        <w:t>（二）开展经批准的评比达标表彰活动。</w:t>
      </w:r>
    </w:p>
    <w:p w14:paraId="6AC1415E">
      <w:pPr>
        <w:spacing w:line="253" w:lineRule="auto"/>
        <w:rPr>
          <w:rFonts w:ascii="Arial"/>
          <w:sz w:val="21"/>
        </w:rPr>
      </w:pPr>
    </w:p>
    <w:p w14:paraId="24948577">
      <w:pPr>
        <w:pStyle w:val="2"/>
        <w:spacing w:before="92" w:line="355" w:lineRule="auto"/>
        <w:ind w:left="29" w:right="113" w:firstLine="600"/>
      </w:pPr>
      <w:r>
        <w:rPr>
          <w:rFonts w:ascii="Times New Roman" w:hAnsi="Times New Roman" w:eastAsia="Times New Roman" w:cs="Times New Roman"/>
          <w:spacing w:val="5"/>
        </w:rPr>
        <w:t>1.</w:t>
      </w:r>
      <w:r>
        <w:rPr>
          <w:spacing w:val="5"/>
        </w:rPr>
        <w:t>基金会应当提前</w:t>
      </w:r>
      <w:r>
        <w:rPr>
          <w:spacing w:val="-23"/>
        </w:rPr>
        <w:t xml:space="preserve"> </w:t>
      </w:r>
      <w:r>
        <w:rPr>
          <w:rFonts w:ascii="Times New Roman" w:hAnsi="Times New Roman" w:eastAsia="Times New Roman" w:cs="Times New Roman"/>
          <w:spacing w:val="5"/>
        </w:rPr>
        <w:t xml:space="preserve">1 </w:t>
      </w:r>
      <w:r>
        <w:rPr>
          <w:spacing w:val="5"/>
        </w:rPr>
        <w:t>个月向业务主管单位提交活动</w:t>
      </w:r>
      <w:r>
        <w:rPr>
          <w:spacing w:val="4"/>
        </w:rPr>
        <w:t>方案，并于</w:t>
      </w:r>
      <w:r>
        <w:t xml:space="preserve"> </w:t>
      </w:r>
      <w:r>
        <w:rPr>
          <w:spacing w:val="5"/>
        </w:rPr>
        <w:t>活动结束后</w:t>
      </w:r>
      <w:r>
        <w:rPr>
          <w:spacing w:val="-17"/>
        </w:rPr>
        <w:t xml:space="preserve"> </w:t>
      </w:r>
      <w:r>
        <w:rPr>
          <w:rFonts w:ascii="Times New Roman" w:hAnsi="Times New Roman" w:eastAsia="Times New Roman" w:cs="Times New Roman"/>
          <w:spacing w:val="5"/>
        </w:rPr>
        <w:t xml:space="preserve">1 </w:t>
      </w:r>
      <w:r>
        <w:rPr>
          <w:spacing w:val="5"/>
        </w:rPr>
        <w:t>个月内提交总结。</w:t>
      </w:r>
    </w:p>
    <w:p w14:paraId="44F85E24">
      <w:pPr>
        <w:pStyle w:val="2"/>
        <w:spacing w:before="160" w:line="364" w:lineRule="auto"/>
        <w:ind w:left="26" w:right="8" w:firstLine="576"/>
        <w:jc w:val="both"/>
      </w:pPr>
      <w:r>
        <w:rPr>
          <w:rFonts w:ascii="Times New Roman" w:hAnsi="Times New Roman" w:eastAsia="Times New Roman" w:cs="Times New Roman"/>
          <w:spacing w:val="1"/>
        </w:rPr>
        <w:t>2.</w:t>
      </w:r>
      <w:r>
        <w:rPr>
          <w:spacing w:val="1"/>
        </w:rPr>
        <w:t>在活动开展过程中，应当按照批准的表彰名称、范围、规模、</w:t>
      </w:r>
      <w:r>
        <w:rPr>
          <w:spacing w:val="10"/>
        </w:rPr>
        <w:t xml:space="preserve"> </w:t>
      </w:r>
      <w:r>
        <w:rPr>
          <w:spacing w:val="16"/>
        </w:rPr>
        <w:t>周期等实施，不得擅自改变项目名称和周期，不</w:t>
      </w:r>
      <w:r>
        <w:rPr>
          <w:spacing w:val="15"/>
        </w:rPr>
        <w:t>得擅自扩大项目</w:t>
      </w:r>
      <w:r>
        <w:t xml:space="preserve"> </w:t>
      </w:r>
      <w:r>
        <w:rPr>
          <w:spacing w:val="16"/>
        </w:rPr>
        <w:t>范围或增设子项目，不得向评选对象收取任何费</w:t>
      </w:r>
      <w:r>
        <w:rPr>
          <w:spacing w:val="15"/>
        </w:rPr>
        <w:t>用或通过其他方</w:t>
      </w:r>
      <w:r>
        <w:t xml:space="preserve"> </w:t>
      </w:r>
      <w:r>
        <w:rPr>
          <w:spacing w:val="16"/>
        </w:rPr>
        <w:t>式变相收费，不得以任何形式与营利性机构合作</w:t>
      </w:r>
      <w:r>
        <w:rPr>
          <w:spacing w:val="15"/>
        </w:rPr>
        <w:t>举办或者委托营</w:t>
      </w:r>
      <w:r>
        <w:t xml:space="preserve"> </w:t>
      </w:r>
      <w:r>
        <w:rPr>
          <w:spacing w:val="6"/>
        </w:rPr>
        <w:t>利性机构举办。</w:t>
      </w:r>
    </w:p>
    <w:p w14:paraId="70206289">
      <w:pPr>
        <w:spacing w:line="364" w:lineRule="auto"/>
        <w:sectPr>
          <w:pgSz w:w="11906" w:h="16839"/>
          <w:pgMar w:top="400" w:right="1698" w:bottom="400" w:left="1785" w:header="0" w:footer="850" w:gutter="0"/>
          <w:pgNumType w:fmt="decimal"/>
          <w:cols w:space="720" w:num="1"/>
        </w:sectPr>
      </w:pPr>
    </w:p>
    <w:p w14:paraId="7F243AB1">
      <w:pPr>
        <w:spacing w:line="287" w:lineRule="auto"/>
        <w:rPr>
          <w:rFonts w:ascii="Arial"/>
          <w:sz w:val="21"/>
        </w:rPr>
      </w:pPr>
    </w:p>
    <w:p w14:paraId="35D8BBB2">
      <w:pPr>
        <w:spacing w:line="287" w:lineRule="auto"/>
        <w:rPr>
          <w:rFonts w:ascii="Arial"/>
          <w:sz w:val="21"/>
        </w:rPr>
      </w:pPr>
    </w:p>
    <w:p w14:paraId="021D7735">
      <w:pPr>
        <w:spacing w:line="287" w:lineRule="auto"/>
        <w:rPr>
          <w:rFonts w:ascii="Arial"/>
          <w:sz w:val="21"/>
        </w:rPr>
      </w:pPr>
    </w:p>
    <w:p w14:paraId="40781140">
      <w:pPr>
        <w:spacing w:line="288" w:lineRule="auto"/>
        <w:rPr>
          <w:rFonts w:ascii="Arial"/>
          <w:sz w:val="21"/>
        </w:rPr>
      </w:pPr>
    </w:p>
    <w:p w14:paraId="6267A41B">
      <w:pPr>
        <w:pStyle w:val="2"/>
        <w:spacing w:before="91" w:line="221" w:lineRule="auto"/>
        <w:ind w:left="469"/>
      </w:pPr>
      <w:r>
        <w:rPr>
          <w:b/>
          <w:bCs/>
          <w:spacing w:val="8"/>
        </w:rPr>
        <w:t>（三）设立或转让、注销经济实体，参与重大投资项目。</w:t>
      </w:r>
    </w:p>
    <w:p w14:paraId="187E1BE3">
      <w:pPr>
        <w:spacing w:line="252" w:lineRule="auto"/>
        <w:rPr>
          <w:rFonts w:ascii="Arial"/>
          <w:sz w:val="21"/>
        </w:rPr>
      </w:pPr>
    </w:p>
    <w:p w14:paraId="6E50806D">
      <w:pPr>
        <w:pStyle w:val="2"/>
        <w:spacing w:before="91" w:line="355" w:lineRule="auto"/>
        <w:ind w:left="25" w:right="105" w:firstLine="605"/>
      </w:pPr>
      <w:r>
        <w:rPr>
          <w:rFonts w:ascii="Times New Roman" w:hAnsi="Times New Roman" w:eastAsia="Times New Roman" w:cs="Times New Roman"/>
          <w:spacing w:val="13"/>
        </w:rPr>
        <w:t>1.</w:t>
      </w:r>
      <w:r>
        <w:rPr>
          <w:spacing w:val="13"/>
        </w:rPr>
        <w:t xml:space="preserve">基金会应当提前 </w:t>
      </w:r>
      <w:r>
        <w:rPr>
          <w:rFonts w:ascii="Times New Roman" w:hAnsi="Times New Roman" w:eastAsia="Times New Roman" w:cs="Times New Roman"/>
          <w:spacing w:val="13"/>
        </w:rPr>
        <w:t>1</w:t>
      </w:r>
      <w:r>
        <w:rPr>
          <w:rFonts w:ascii="Times New Roman" w:hAnsi="Times New Roman" w:eastAsia="Times New Roman" w:cs="Times New Roman"/>
          <w:spacing w:val="33"/>
        </w:rPr>
        <w:t xml:space="preserve"> </w:t>
      </w:r>
      <w:r>
        <w:rPr>
          <w:spacing w:val="13"/>
        </w:rPr>
        <w:t>个月向业务主管单位提交拟设立经济实</w:t>
      </w:r>
      <w:r>
        <w:t xml:space="preserve"> </w:t>
      </w:r>
      <w:r>
        <w:rPr>
          <w:spacing w:val="11"/>
        </w:rPr>
        <w:t>体的经营范围、经营方式、利润分配方式和</w:t>
      </w:r>
      <w:r>
        <w:rPr>
          <w:spacing w:val="10"/>
        </w:rPr>
        <w:t>有关管理办法等。</w:t>
      </w:r>
    </w:p>
    <w:p w14:paraId="17AFE279">
      <w:pPr>
        <w:pStyle w:val="2"/>
        <w:spacing w:before="165" w:line="361" w:lineRule="auto"/>
        <w:ind w:left="26" w:right="105" w:firstLine="576"/>
        <w:jc w:val="both"/>
      </w:pPr>
      <w:r>
        <w:rPr>
          <w:rFonts w:ascii="Times New Roman" w:hAnsi="Times New Roman" w:eastAsia="Times New Roman" w:cs="Times New Roman"/>
          <w:spacing w:val="7"/>
        </w:rPr>
        <w:t>2.</w:t>
      </w:r>
      <w:r>
        <w:rPr>
          <w:spacing w:val="7"/>
        </w:rPr>
        <w:t>基金会当建立相关管理制度，在资产、机构、人员等方面与</w:t>
      </w:r>
      <w:r>
        <w:rPr>
          <w:spacing w:val="18"/>
        </w:rPr>
        <w:t xml:space="preserve"> </w:t>
      </w:r>
      <w:r>
        <w:rPr>
          <w:spacing w:val="16"/>
        </w:rPr>
        <w:t>经济实体分开，不得利用经济实体向服务对象强</w:t>
      </w:r>
      <w:r>
        <w:rPr>
          <w:spacing w:val="15"/>
        </w:rPr>
        <w:t>制服务、强制收</w:t>
      </w:r>
      <w:r>
        <w:t xml:space="preserve"> </w:t>
      </w:r>
      <w:r>
        <w:rPr>
          <w:spacing w:val="7"/>
        </w:rPr>
        <w:t>费</w:t>
      </w:r>
      <w:r>
        <w:rPr>
          <w:rFonts w:ascii="Times New Roman" w:hAnsi="Times New Roman" w:eastAsia="Times New Roman" w:cs="Times New Roman"/>
          <w:spacing w:val="7"/>
        </w:rPr>
        <w:t>;</w:t>
      </w:r>
      <w:r>
        <w:rPr>
          <w:spacing w:val="7"/>
        </w:rPr>
        <w:t>与经济实体之间发生经济往来，应当按照等 价交换的原则收取</w:t>
      </w:r>
      <w:r>
        <w:rPr>
          <w:spacing w:val="13"/>
        </w:rPr>
        <w:t xml:space="preserve"> </w:t>
      </w:r>
      <w:r>
        <w:rPr>
          <w:spacing w:val="7"/>
        </w:rPr>
        <w:t>价款、支付费用。</w:t>
      </w:r>
    </w:p>
    <w:p w14:paraId="77CB9C69">
      <w:pPr>
        <w:pStyle w:val="2"/>
        <w:spacing w:before="165" w:line="355" w:lineRule="auto"/>
        <w:ind w:left="53" w:right="105" w:firstLine="555"/>
      </w:pPr>
      <w:r>
        <w:rPr>
          <w:rFonts w:ascii="Times New Roman" w:hAnsi="Times New Roman" w:eastAsia="Times New Roman" w:cs="Times New Roman"/>
          <w:spacing w:val="7"/>
        </w:rPr>
        <w:t>3.</w:t>
      </w:r>
      <w:r>
        <w:rPr>
          <w:spacing w:val="7"/>
        </w:rPr>
        <w:t>基金会应当加强对所举办经济实体财务情况的监督，并定期</w:t>
      </w:r>
      <w:r>
        <w:rPr>
          <w:spacing w:val="12"/>
        </w:rPr>
        <w:t xml:space="preserve"> </w:t>
      </w:r>
      <w:r>
        <w:rPr>
          <w:spacing w:val="6"/>
        </w:rPr>
        <w:t>向理事会报告相关情况。</w:t>
      </w:r>
    </w:p>
    <w:p w14:paraId="79A7B481">
      <w:pPr>
        <w:pStyle w:val="2"/>
        <w:spacing w:before="166" w:line="219" w:lineRule="auto"/>
        <w:ind w:left="469"/>
      </w:pPr>
      <w:r>
        <w:rPr>
          <w:b/>
          <w:bCs/>
          <w:spacing w:val="3"/>
        </w:rPr>
        <w:t>（四）基金会接受单笔</w:t>
      </w:r>
      <w:r>
        <w:rPr>
          <w:spacing w:val="-36"/>
        </w:rPr>
        <w:t xml:space="preserve"> </w:t>
      </w:r>
      <w:r>
        <w:rPr>
          <w:rFonts w:ascii="Times New Roman" w:hAnsi="Times New Roman" w:eastAsia="Times New Roman" w:cs="Times New Roman"/>
          <w:b/>
          <w:bCs/>
          <w:spacing w:val="3"/>
        </w:rPr>
        <w:t>100</w:t>
      </w:r>
      <w:r>
        <w:rPr>
          <w:rFonts w:ascii="Times New Roman" w:hAnsi="Times New Roman" w:eastAsia="Times New Roman" w:cs="Times New Roman"/>
          <w:b/>
          <w:bCs/>
          <w:spacing w:val="30"/>
          <w:w w:val="101"/>
        </w:rPr>
        <w:t xml:space="preserve"> </w:t>
      </w:r>
      <w:r>
        <w:rPr>
          <w:b/>
          <w:bCs/>
          <w:spacing w:val="3"/>
        </w:rPr>
        <w:t>万元（含）</w:t>
      </w:r>
      <w:r>
        <w:rPr>
          <w:spacing w:val="-71"/>
        </w:rPr>
        <w:t xml:space="preserve"> </w:t>
      </w:r>
      <w:r>
        <w:rPr>
          <w:b/>
          <w:bCs/>
          <w:spacing w:val="3"/>
        </w:rPr>
        <w:t>以上的境内捐赠。</w:t>
      </w:r>
    </w:p>
    <w:p w14:paraId="56D82D7F">
      <w:pPr>
        <w:spacing w:line="254" w:lineRule="auto"/>
        <w:rPr>
          <w:rFonts w:ascii="Arial"/>
          <w:sz w:val="21"/>
        </w:rPr>
      </w:pPr>
    </w:p>
    <w:p w14:paraId="6C4E56BD">
      <w:pPr>
        <w:pStyle w:val="2"/>
        <w:spacing w:before="91" w:line="356" w:lineRule="auto"/>
        <w:ind w:left="23" w:firstLine="584"/>
        <w:jc w:val="both"/>
      </w:pPr>
      <w:r>
        <w:rPr>
          <w:spacing w:val="7"/>
        </w:rPr>
        <w:t>基金会应当提前</w:t>
      </w:r>
      <w:r>
        <w:rPr>
          <w:spacing w:val="-22"/>
        </w:rPr>
        <w:t xml:space="preserve"> </w:t>
      </w:r>
      <w:r>
        <w:rPr>
          <w:rFonts w:ascii="Times New Roman" w:hAnsi="Times New Roman" w:eastAsia="Times New Roman" w:cs="Times New Roman"/>
          <w:spacing w:val="7"/>
        </w:rPr>
        <w:t xml:space="preserve">1 </w:t>
      </w:r>
      <w:r>
        <w:rPr>
          <w:spacing w:val="7"/>
        </w:rPr>
        <w:t>个月向业务主管单位提交捐赠方基本情况、</w:t>
      </w:r>
      <w:r>
        <w:t xml:space="preserve"> </w:t>
      </w:r>
      <w:r>
        <w:rPr>
          <w:spacing w:val="3"/>
        </w:rPr>
        <w:t>捐赠财产情况</w:t>
      </w:r>
      <w:r>
        <w:rPr>
          <w:rFonts w:ascii="Times New Roman" w:hAnsi="Times New Roman" w:eastAsia="Times New Roman" w:cs="Times New Roman"/>
          <w:spacing w:val="3"/>
        </w:rPr>
        <w:t>(</w:t>
      </w:r>
      <w:r>
        <w:rPr>
          <w:spacing w:val="3"/>
        </w:rPr>
        <w:t>种类、数量、金额、交付时间</w:t>
      </w:r>
      <w:r>
        <w:rPr>
          <w:rFonts w:ascii="Times New Roman" w:hAnsi="Times New Roman" w:eastAsia="Times New Roman" w:cs="Times New Roman"/>
          <w:spacing w:val="2"/>
        </w:rPr>
        <w:t>)</w:t>
      </w:r>
      <w:r>
        <w:rPr>
          <w:spacing w:val="2"/>
        </w:rPr>
        <w:t>、捐赠财产使用计划、</w:t>
      </w:r>
      <w:r>
        <w:t xml:space="preserve"> </w:t>
      </w:r>
      <w:r>
        <w:rPr>
          <w:spacing w:val="8"/>
        </w:rPr>
        <w:t>拟签订的捐赠协议等。</w:t>
      </w:r>
    </w:p>
    <w:p w14:paraId="6ABAA19A">
      <w:pPr>
        <w:pStyle w:val="2"/>
        <w:spacing w:before="180" w:line="219" w:lineRule="auto"/>
        <w:ind w:left="469"/>
      </w:pPr>
      <w:r>
        <w:rPr>
          <w:b/>
          <w:bCs/>
          <w:spacing w:val="7"/>
        </w:rPr>
        <w:t>（五）设立分支机构、代表机构或专项基金。</w:t>
      </w:r>
    </w:p>
    <w:p w14:paraId="4D78A49B">
      <w:pPr>
        <w:spacing w:line="252" w:lineRule="auto"/>
        <w:rPr>
          <w:rFonts w:ascii="Arial"/>
          <w:sz w:val="21"/>
        </w:rPr>
      </w:pPr>
    </w:p>
    <w:p w14:paraId="694A8DEB">
      <w:pPr>
        <w:pStyle w:val="2"/>
        <w:spacing w:before="92" w:line="357" w:lineRule="auto"/>
        <w:ind w:left="28" w:firstLine="579"/>
      </w:pPr>
      <w:r>
        <w:rPr>
          <w:spacing w:val="6"/>
        </w:rPr>
        <w:t>应当提前</w:t>
      </w:r>
      <w:r>
        <w:rPr>
          <w:spacing w:val="-9"/>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21"/>
        </w:rPr>
        <w:t xml:space="preserve"> </w:t>
      </w:r>
      <w:r>
        <w:rPr>
          <w:spacing w:val="6"/>
        </w:rPr>
        <w:t>个月向业务主管单位提交设立的理由、业务范围、</w:t>
      </w:r>
      <w:r>
        <w:t xml:space="preserve"> </w:t>
      </w:r>
      <w:r>
        <w:rPr>
          <w:spacing w:val="9"/>
        </w:rPr>
        <w:t>工作任务及拟任负责人等情况。</w:t>
      </w:r>
    </w:p>
    <w:p w14:paraId="5DAFE1B1">
      <w:pPr>
        <w:pStyle w:val="2"/>
        <w:spacing w:before="160" w:line="219" w:lineRule="auto"/>
        <w:ind w:left="469"/>
      </w:pPr>
      <w:r>
        <w:rPr>
          <w:b/>
          <w:bCs/>
          <w:spacing w:val="7"/>
        </w:rPr>
        <w:t>（六）其他依法依规应当报备的事项。</w:t>
      </w:r>
    </w:p>
    <w:p w14:paraId="33156017">
      <w:pPr>
        <w:spacing w:line="253" w:lineRule="auto"/>
        <w:rPr>
          <w:rFonts w:ascii="Arial"/>
          <w:sz w:val="21"/>
        </w:rPr>
      </w:pPr>
    </w:p>
    <w:p w14:paraId="1BB528E8">
      <w:pPr>
        <w:spacing w:before="91" w:line="222" w:lineRule="auto"/>
        <w:ind w:left="2708"/>
        <w:rPr>
          <w:rFonts w:ascii="黑体" w:hAnsi="黑体" w:eastAsia="黑体" w:cs="黑体"/>
          <w:sz w:val="28"/>
          <w:szCs w:val="28"/>
        </w:rPr>
      </w:pPr>
      <w:r>
        <w:rPr>
          <w:rFonts w:ascii="黑体" w:hAnsi="黑体" w:eastAsia="黑体" w:cs="黑体"/>
          <w:spacing w:val="-1"/>
          <w:sz w:val="28"/>
          <w:szCs w:val="28"/>
        </w:rPr>
        <w:t>第四章 即时报告类事项</w:t>
      </w:r>
    </w:p>
    <w:p w14:paraId="7F861FB6">
      <w:pPr>
        <w:spacing w:before="227" w:line="358" w:lineRule="auto"/>
        <w:ind w:left="33" w:right="105" w:firstLine="594"/>
        <w:jc w:val="both"/>
        <w:rPr>
          <w:rFonts w:ascii="仿宋" w:hAnsi="仿宋" w:eastAsia="仿宋" w:cs="仿宋"/>
          <w:sz w:val="28"/>
          <w:szCs w:val="28"/>
        </w:rPr>
      </w:pPr>
      <w:r>
        <w:rPr>
          <w:rFonts w:ascii="仿宋" w:hAnsi="仿宋" w:eastAsia="仿宋" w:cs="仿宋"/>
          <w:b/>
          <w:bCs/>
          <w:spacing w:val="18"/>
          <w:sz w:val="28"/>
          <w:szCs w:val="28"/>
        </w:rPr>
        <w:t>第七条</w:t>
      </w:r>
      <w:r>
        <w:rPr>
          <w:rFonts w:ascii="仿宋" w:hAnsi="仿宋" w:eastAsia="仿宋" w:cs="仿宋"/>
          <w:spacing w:val="80"/>
          <w:sz w:val="28"/>
          <w:szCs w:val="28"/>
        </w:rPr>
        <w:t xml:space="preserve"> </w:t>
      </w:r>
      <w:r>
        <w:rPr>
          <w:rFonts w:ascii="仿宋" w:hAnsi="仿宋" w:eastAsia="仿宋" w:cs="仿宋"/>
          <w:spacing w:val="18"/>
          <w:sz w:val="28"/>
          <w:szCs w:val="28"/>
        </w:rPr>
        <w:t>基金会应当针对各类突发性公共事件制定应急处置</w:t>
      </w:r>
      <w:r>
        <w:rPr>
          <w:rFonts w:ascii="仿宋" w:hAnsi="仿宋" w:eastAsia="仿宋" w:cs="仿宋"/>
          <w:sz w:val="28"/>
          <w:szCs w:val="28"/>
        </w:rPr>
        <w:t xml:space="preserve"> </w:t>
      </w:r>
      <w:r>
        <w:rPr>
          <w:rFonts w:ascii="仿宋" w:hAnsi="仿宋" w:eastAsia="仿宋" w:cs="仿宋"/>
          <w:spacing w:val="15"/>
          <w:sz w:val="28"/>
          <w:szCs w:val="28"/>
        </w:rPr>
        <w:t>预案，及时向业务主管单位报告，提升对突发类事件的预警、监</w:t>
      </w:r>
      <w:r>
        <w:rPr>
          <w:rFonts w:ascii="仿宋" w:hAnsi="仿宋" w:eastAsia="仿宋" w:cs="仿宋"/>
          <w:spacing w:val="13"/>
          <w:sz w:val="28"/>
          <w:szCs w:val="28"/>
        </w:rPr>
        <w:t xml:space="preserve"> </w:t>
      </w:r>
      <w:r>
        <w:rPr>
          <w:rFonts w:ascii="仿宋" w:hAnsi="仿宋" w:eastAsia="仿宋" w:cs="仿宋"/>
          <w:spacing w:val="10"/>
          <w:sz w:val="28"/>
          <w:szCs w:val="28"/>
        </w:rPr>
        <w:t>控和处置能力，建立和完善危机管理的组织体系和运行机制。</w:t>
      </w:r>
    </w:p>
    <w:p w14:paraId="5DA22409">
      <w:pPr>
        <w:spacing w:before="49" w:line="222" w:lineRule="auto"/>
        <w:ind w:left="3128"/>
        <w:rPr>
          <w:rFonts w:ascii="黑体" w:hAnsi="黑体" w:eastAsia="黑体" w:cs="黑体"/>
          <w:sz w:val="28"/>
          <w:szCs w:val="28"/>
        </w:rPr>
      </w:pPr>
      <w:r>
        <w:rPr>
          <w:rFonts w:ascii="黑体" w:hAnsi="黑体" w:eastAsia="黑体" w:cs="黑体"/>
          <w:spacing w:val="-2"/>
          <w:sz w:val="28"/>
          <w:szCs w:val="28"/>
        </w:rPr>
        <w:t>第五章 职责履行</w:t>
      </w:r>
    </w:p>
    <w:p w14:paraId="115A84EF">
      <w:pPr>
        <w:spacing w:line="222" w:lineRule="auto"/>
        <w:rPr>
          <w:rFonts w:ascii="黑体" w:hAnsi="黑体" w:eastAsia="黑体" w:cs="黑体"/>
          <w:sz w:val="28"/>
          <w:szCs w:val="28"/>
        </w:rPr>
        <w:sectPr>
          <w:pgSz w:w="11906" w:h="16839"/>
          <w:pgMar w:top="400" w:right="1706" w:bottom="400" w:left="1785" w:header="0" w:footer="850" w:gutter="0"/>
          <w:pgNumType w:fmt="decimal"/>
          <w:cols w:space="720" w:num="1"/>
        </w:sectPr>
      </w:pPr>
    </w:p>
    <w:p w14:paraId="5C655AF9">
      <w:pPr>
        <w:spacing w:line="287" w:lineRule="auto"/>
        <w:rPr>
          <w:rFonts w:ascii="Arial"/>
          <w:sz w:val="21"/>
        </w:rPr>
      </w:pPr>
    </w:p>
    <w:p w14:paraId="034A63E8">
      <w:pPr>
        <w:spacing w:line="287" w:lineRule="auto"/>
        <w:rPr>
          <w:rFonts w:ascii="Arial"/>
          <w:sz w:val="21"/>
        </w:rPr>
      </w:pPr>
    </w:p>
    <w:p w14:paraId="4EE6C493">
      <w:pPr>
        <w:spacing w:line="287" w:lineRule="auto"/>
        <w:rPr>
          <w:rFonts w:ascii="Arial"/>
          <w:sz w:val="21"/>
        </w:rPr>
      </w:pPr>
    </w:p>
    <w:p w14:paraId="68F6C994">
      <w:pPr>
        <w:spacing w:line="288" w:lineRule="auto"/>
        <w:rPr>
          <w:rFonts w:ascii="Arial"/>
          <w:sz w:val="21"/>
        </w:rPr>
      </w:pPr>
    </w:p>
    <w:p w14:paraId="6EEBC0FB">
      <w:pPr>
        <w:spacing w:before="91" w:line="354" w:lineRule="auto"/>
        <w:ind w:left="38" w:right="127" w:firstLine="589"/>
        <w:rPr>
          <w:rFonts w:ascii="仿宋" w:hAnsi="仿宋" w:eastAsia="仿宋" w:cs="仿宋"/>
          <w:sz w:val="28"/>
          <w:szCs w:val="28"/>
        </w:rPr>
      </w:pPr>
      <w:r>
        <w:rPr>
          <w:rFonts w:ascii="仿宋" w:hAnsi="仿宋" w:eastAsia="仿宋" w:cs="仿宋"/>
          <w:b/>
          <w:bCs/>
          <w:spacing w:val="8"/>
          <w:sz w:val="28"/>
          <w:szCs w:val="28"/>
        </w:rPr>
        <w:t>第八条</w:t>
      </w:r>
      <w:r>
        <w:rPr>
          <w:rFonts w:ascii="仿宋" w:hAnsi="仿宋" w:eastAsia="仿宋" w:cs="仿宋"/>
          <w:spacing w:val="43"/>
          <w:sz w:val="28"/>
          <w:szCs w:val="28"/>
        </w:rPr>
        <w:t xml:space="preserve"> </w:t>
      </w:r>
      <w:r>
        <w:rPr>
          <w:rFonts w:ascii="仿宋" w:hAnsi="仿宋" w:eastAsia="仿宋" w:cs="仿宋"/>
          <w:spacing w:val="8"/>
          <w:sz w:val="28"/>
          <w:szCs w:val="28"/>
        </w:rPr>
        <w:t>基金会按照章程规定的宗旨和业务范围，履行章程规</w:t>
      </w:r>
      <w:r>
        <w:rPr>
          <w:rFonts w:ascii="仿宋" w:hAnsi="仿宋" w:eastAsia="仿宋" w:cs="仿宋"/>
          <w:sz w:val="28"/>
          <w:szCs w:val="28"/>
        </w:rPr>
        <w:t xml:space="preserve"> </w:t>
      </w:r>
      <w:r>
        <w:rPr>
          <w:rFonts w:ascii="仿宋" w:hAnsi="仿宋" w:eastAsia="仿宋" w:cs="仿宋"/>
          <w:spacing w:val="5"/>
          <w:sz w:val="28"/>
          <w:szCs w:val="28"/>
        </w:rPr>
        <w:t>定的决策程序。</w:t>
      </w:r>
    </w:p>
    <w:p w14:paraId="597B7662">
      <w:pPr>
        <w:spacing w:before="42" w:line="362" w:lineRule="auto"/>
        <w:ind w:left="40" w:right="127" w:firstLine="587"/>
        <w:jc w:val="both"/>
        <w:rPr>
          <w:rFonts w:ascii="仿宋" w:hAnsi="仿宋" w:eastAsia="仿宋" w:cs="仿宋"/>
          <w:sz w:val="28"/>
          <w:szCs w:val="28"/>
        </w:rPr>
      </w:pPr>
      <w:r>
        <w:rPr>
          <w:rFonts w:ascii="仿宋" w:hAnsi="仿宋" w:eastAsia="仿宋" w:cs="仿宋"/>
          <w:b/>
          <w:bCs/>
          <w:spacing w:val="18"/>
          <w:sz w:val="28"/>
          <w:szCs w:val="28"/>
        </w:rPr>
        <w:t>第九条</w:t>
      </w:r>
      <w:r>
        <w:rPr>
          <w:rFonts w:ascii="仿宋" w:hAnsi="仿宋" w:eastAsia="仿宋" w:cs="仿宋"/>
          <w:spacing w:val="80"/>
          <w:sz w:val="28"/>
          <w:szCs w:val="28"/>
        </w:rPr>
        <w:t xml:space="preserve"> </w:t>
      </w:r>
      <w:r>
        <w:rPr>
          <w:rFonts w:ascii="仿宋" w:hAnsi="仿宋" w:eastAsia="仿宋" w:cs="仿宋"/>
          <w:spacing w:val="18"/>
          <w:sz w:val="28"/>
          <w:szCs w:val="28"/>
        </w:rPr>
        <w:t>举办重大活动的经费来源要符合国家法律法规和有</w:t>
      </w:r>
      <w:r>
        <w:rPr>
          <w:rFonts w:ascii="仿宋" w:hAnsi="仿宋" w:eastAsia="仿宋" w:cs="仿宋"/>
          <w:sz w:val="28"/>
          <w:szCs w:val="28"/>
        </w:rPr>
        <w:t xml:space="preserve"> </w:t>
      </w:r>
      <w:r>
        <w:rPr>
          <w:rFonts w:ascii="仿宋" w:hAnsi="仿宋" w:eastAsia="仿宋" w:cs="仿宋"/>
          <w:spacing w:val="15"/>
          <w:sz w:val="28"/>
          <w:szCs w:val="28"/>
        </w:rPr>
        <w:t>关政策规定，对实际发生的经济业务事项，严格按照《中华人民</w:t>
      </w:r>
      <w:r>
        <w:rPr>
          <w:rFonts w:ascii="仿宋" w:hAnsi="仿宋" w:eastAsia="仿宋" w:cs="仿宋"/>
          <w:spacing w:val="6"/>
          <w:sz w:val="28"/>
          <w:szCs w:val="28"/>
        </w:rPr>
        <w:t xml:space="preserve"> </w:t>
      </w:r>
      <w:r>
        <w:rPr>
          <w:rFonts w:ascii="仿宋" w:hAnsi="仿宋" w:eastAsia="仿宋" w:cs="仿宋"/>
          <w:spacing w:val="12"/>
          <w:sz w:val="28"/>
          <w:szCs w:val="28"/>
        </w:rPr>
        <w:t>共和国会计法》</w:t>
      </w:r>
      <w:r>
        <w:rPr>
          <w:rFonts w:ascii="仿宋" w:hAnsi="仿宋" w:eastAsia="仿宋" w:cs="仿宋"/>
          <w:spacing w:val="-105"/>
          <w:sz w:val="28"/>
          <w:szCs w:val="28"/>
        </w:rPr>
        <w:t xml:space="preserve"> </w:t>
      </w:r>
      <w:r>
        <w:rPr>
          <w:rFonts w:ascii="仿宋" w:hAnsi="仿宋" w:eastAsia="仿宋" w:cs="仿宋"/>
          <w:spacing w:val="12"/>
          <w:sz w:val="28"/>
          <w:szCs w:val="28"/>
        </w:rPr>
        <w:t>《民间非营利组织会计制度》</w:t>
      </w:r>
      <w:r>
        <w:rPr>
          <w:rFonts w:ascii="仿宋" w:hAnsi="仿宋" w:eastAsia="仿宋" w:cs="仿宋"/>
          <w:spacing w:val="-80"/>
          <w:sz w:val="28"/>
          <w:szCs w:val="28"/>
        </w:rPr>
        <w:t xml:space="preserve"> </w:t>
      </w:r>
      <w:r>
        <w:rPr>
          <w:rFonts w:ascii="仿宋" w:hAnsi="仿宋" w:eastAsia="仿宋" w:cs="仿宋"/>
          <w:spacing w:val="12"/>
          <w:sz w:val="28"/>
          <w:szCs w:val="28"/>
        </w:rPr>
        <w:t>等规定</w:t>
      </w:r>
      <w:r>
        <w:rPr>
          <w:rFonts w:ascii="仿宋" w:hAnsi="仿宋" w:eastAsia="仿宋" w:cs="仿宋"/>
          <w:spacing w:val="11"/>
          <w:sz w:val="28"/>
          <w:szCs w:val="28"/>
        </w:rPr>
        <w:t>，如实进行</w:t>
      </w:r>
      <w:r>
        <w:rPr>
          <w:rFonts w:ascii="仿宋" w:hAnsi="仿宋" w:eastAsia="仿宋" w:cs="仿宋"/>
          <w:sz w:val="28"/>
          <w:szCs w:val="28"/>
        </w:rPr>
        <w:t xml:space="preserve"> </w:t>
      </w:r>
      <w:r>
        <w:rPr>
          <w:rFonts w:ascii="仿宋" w:hAnsi="仿宋" w:eastAsia="仿宋" w:cs="仿宋"/>
          <w:spacing w:val="9"/>
          <w:sz w:val="28"/>
          <w:szCs w:val="28"/>
        </w:rPr>
        <w:t>会计核算，全部收支纳入基金会法定账册。</w:t>
      </w:r>
    </w:p>
    <w:p w14:paraId="1A248087">
      <w:pPr>
        <w:spacing w:before="49" w:line="361" w:lineRule="auto"/>
        <w:ind w:left="32" w:firstLine="595"/>
        <w:jc w:val="both"/>
        <w:rPr>
          <w:rFonts w:ascii="仿宋" w:hAnsi="仿宋" w:eastAsia="仿宋" w:cs="仿宋"/>
          <w:sz w:val="28"/>
          <w:szCs w:val="28"/>
        </w:rPr>
      </w:pPr>
      <w:r>
        <w:rPr>
          <w:rFonts w:ascii="仿宋" w:hAnsi="仿宋" w:eastAsia="仿宋" w:cs="仿宋"/>
          <w:b/>
          <w:bCs/>
          <w:spacing w:val="8"/>
          <w:sz w:val="28"/>
          <w:szCs w:val="28"/>
        </w:rPr>
        <w:t>第十条</w:t>
      </w:r>
      <w:r>
        <w:rPr>
          <w:rFonts w:ascii="仿宋" w:hAnsi="仿宋" w:eastAsia="仿宋" w:cs="仿宋"/>
          <w:spacing w:val="43"/>
          <w:sz w:val="28"/>
          <w:szCs w:val="28"/>
        </w:rPr>
        <w:t xml:space="preserve"> </w:t>
      </w:r>
      <w:r>
        <w:rPr>
          <w:rFonts w:ascii="仿宋" w:hAnsi="仿宋" w:eastAsia="仿宋" w:cs="仿宋"/>
          <w:spacing w:val="8"/>
          <w:sz w:val="28"/>
          <w:szCs w:val="28"/>
        </w:rPr>
        <w:t>基金会作为主办单位合作举办重大活动，切实履行对</w:t>
      </w:r>
      <w:r>
        <w:rPr>
          <w:rFonts w:ascii="仿宋" w:hAnsi="仿宋" w:eastAsia="仿宋" w:cs="仿宋"/>
          <w:sz w:val="28"/>
          <w:szCs w:val="28"/>
        </w:rPr>
        <w:t xml:space="preserve">  承（协）办单位的监督管理职责，对活动全过程予以把关。承（协）</w:t>
      </w:r>
      <w:r>
        <w:rPr>
          <w:rFonts w:ascii="仿宋" w:hAnsi="仿宋" w:eastAsia="仿宋" w:cs="仿宋"/>
          <w:spacing w:val="2"/>
          <w:sz w:val="28"/>
          <w:szCs w:val="28"/>
        </w:rPr>
        <w:t xml:space="preserve"> </w:t>
      </w:r>
      <w:r>
        <w:rPr>
          <w:rFonts w:ascii="仿宋" w:hAnsi="仿宋" w:eastAsia="仿宋" w:cs="仿宋"/>
          <w:spacing w:val="3"/>
          <w:sz w:val="28"/>
          <w:szCs w:val="28"/>
        </w:rPr>
        <w:t>办单位是营利性组织的，基金会应当对其</w:t>
      </w:r>
      <w:r>
        <w:rPr>
          <w:rFonts w:ascii="仿宋" w:hAnsi="仿宋" w:eastAsia="仿宋" w:cs="仿宋"/>
          <w:spacing w:val="55"/>
          <w:sz w:val="28"/>
          <w:szCs w:val="28"/>
        </w:rPr>
        <w:t xml:space="preserve"> </w:t>
      </w:r>
      <w:r>
        <w:rPr>
          <w:rFonts w:ascii="仿宋" w:hAnsi="仿宋" w:eastAsia="仿宋" w:cs="仿宋"/>
          <w:spacing w:val="3"/>
          <w:sz w:val="28"/>
          <w:szCs w:val="28"/>
        </w:rPr>
        <w:t>资质、信用等进行考察，</w:t>
      </w:r>
      <w:r>
        <w:rPr>
          <w:rFonts w:ascii="仿宋" w:hAnsi="仿宋" w:eastAsia="仿宋" w:cs="仿宋"/>
          <w:sz w:val="28"/>
          <w:szCs w:val="28"/>
        </w:rPr>
        <w:t xml:space="preserve"> </w:t>
      </w:r>
      <w:r>
        <w:rPr>
          <w:rFonts w:ascii="仿宋" w:hAnsi="仿宋" w:eastAsia="仿宋" w:cs="仿宋"/>
          <w:spacing w:val="9"/>
          <w:sz w:val="28"/>
          <w:szCs w:val="28"/>
        </w:rPr>
        <w:t>慎重选择合作对象，确保活动依法依规开展。</w:t>
      </w:r>
    </w:p>
    <w:p w14:paraId="5ACB3AC5">
      <w:pPr>
        <w:spacing w:before="47" w:line="354" w:lineRule="auto"/>
        <w:ind w:left="41" w:right="127" w:firstLine="586"/>
        <w:rPr>
          <w:rFonts w:ascii="仿宋" w:hAnsi="仿宋" w:eastAsia="仿宋" w:cs="仿宋"/>
          <w:sz w:val="28"/>
          <w:szCs w:val="28"/>
        </w:rPr>
      </w:pPr>
      <w:r>
        <w:rPr>
          <w:rFonts w:ascii="仿宋" w:hAnsi="仿宋" w:eastAsia="仿宋" w:cs="仿宋"/>
          <w:b/>
          <w:bCs/>
          <w:spacing w:val="8"/>
          <w:sz w:val="28"/>
          <w:szCs w:val="28"/>
        </w:rPr>
        <w:t>第十一条</w:t>
      </w:r>
      <w:r>
        <w:rPr>
          <w:rFonts w:ascii="仿宋" w:hAnsi="仿宋" w:eastAsia="仿宋" w:cs="仿宋"/>
          <w:spacing w:val="44"/>
          <w:sz w:val="28"/>
          <w:szCs w:val="28"/>
        </w:rPr>
        <w:t xml:space="preserve"> </w:t>
      </w:r>
      <w:r>
        <w:rPr>
          <w:rFonts w:ascii="仿宋" w:hAnsi="仿宋" w:eastAsia="仿宋" w:cs="仿宋"/>
          <w:spacing w:val="8"/>
          <w:sz w:val="28"/>
          <w:szCs w:val="28"/>
        </w:rPr>
        <w:t>基金会应采取合适的方式，依法及时、准</w:t>
      </w:r>
      <w:r>
        <w:rPr>
          <w:rFonts w:ascii="仿宋" w:hAnsi="仿宋" w:eastAsia="仿宋" w:cs="仿宋"/>
          <w:spacing w:val="7"/>
          <w:sz w:val="28"/>
          <w:szCs w:val="28"/>
        </w:rPr>
        <w:t>确地向社</w:t>
      </w:r>
      <w:r>
        <w:rPr>
          <w:rFonts w:ascii="仿宋" w:hAnsi="仿宋" w:eastAsia="仿宋" w:cs="仿宋"/>
          <w:sz w:val="28"/>
          <w:szCs w:val="28"/>
        </w:rPr>
        <w:t xml:space="preserve"> </w:t>
      </w:r>
      <w:r>
        <w:rPr>
          <w:rFonts w:ascii="仿宋" w:hAnsi="仿宋" w:eastAsia="仿宋" w:cs="仿宋"/>
          <w:spacing w:val="9"/>
          <w:sz w:val="28"/>
          <w:szCs w:val="28"/>
        </w:rPr>
        <w:t>会公开年度报告、重大活动开展情况等。</w:t>
      </w:r>
    </w:p>
    <w:p w14:paraId="2BF45663">
      <w:pPr>
        <w:spacing w:before="47" w:line="222" w:lineRule="auto"/>
        <w:ind w:left="3128"/>
        <w:rPr>
          <w:rFonts w:ascii="黑体" w:hAnsi="黑体" w:eastAsia="黑体" w:cs="黑体"/>
          <w:sz w:val="28"/>
          <w:szCs w:val="28"/>
        </w:rPr>
      </w:pPr>
      <w:r>
        <w:rPr>
          <w:rFonts w:ascii="黑体" w:hAnsi="黑体" w:eastAsia="黑体" w:cs="黑体"/>
          <w:spacing w:val="-2"/>
          <w:sz w:val="28"/>
          <w:szCs w:val="28"/>
        </w:rPr>
        <w:t>第六章 沟通机制</w:t>
      </w:r>
    </w:p>
    <w:p w14:paraId="53A05EBD">
      <w:pPr>
        <w:spacing w:before="223" w:line="359" w:lineRule="auto"/>
        <w:ind w:left="31" w:right="125" w:firstLine="596"/>
        <w:jc w:val="both"/>
        <w:rPr>
          <w:rFonts w:ascii="仿宋" w:hAnsi="仿宋" w:eastAsia="仿宋" w:cs="仿宋"/>
          <w:sz w:val="28"/>
          <w:szCs w:val="28"/>
        </w:rPr>
      </w:pPr>
      <w:r>
        <w:rPr>
          <w:rFonts w:ascii="仿宋" w:hAnsi="仿宋" w:eastAsia="仿宋" w:cs="仿宋"/>
          <w:b/>
          <w:bCs/>
          <w:spacing w:val="14"/>
          <w:sz w:val="28"/>
          <w:szCs w:val="28"/>
        </w:rPr>
        <w:t>第十二条</w:t>
      </w:r>
      <w:r>
        <w:rPr>
          <w:rFonts w:ascii="仿宋" w:hAnsi="仿宋" w:eastAsia="仿宋" w:cs="仿宋"/>
          <w:spacing w:val="14"/>
          <w:sz w:val="28"/>
          <w:szCs w:val="28"/>
        </w:rPr>
        <w:t xml:space="preserve">  基金会重大事项需要填写《青海省青海湖生态保</w:t>
      </w:r>
      <w:r>
        <w:rPr>
          <w:rFonts w:ascii="仿宋" w:hAnsi="仿宋" w:eastAsia="仿宋" w:cs="仿宋"/>
          <w:spacing w:val="12"/>
          <w:sz w:val="28"/>
          <w:szCs w:val="28"/>
        </w:rPr>
        <w:t xml:space="preserve"> </w:t>
      </w:r>
      <w:r>
        <w:rPr>
          <w:rFonts w:ascii="仿宋" w:hAnsi="仿宋" w:eastAsia="仿宋" w:cs="仿宋"/>
          <w:spacing w:val="13"/>
          <w:sz w:val="28"/>
          <w:szCs w:val="28"/>
        </w:rPr>
        <w:t>护基金会重大事项报告表》</w:t>
      </w:r>
      <w:r>
        <w:rPr>
          <w:rFonts w:ascii="仿宋" w:hAnsi="仿宋" w:eastAsia="仿宋" w:cs="仿宋"/>
          <w:spacing w:val="-108"/>
          <w:sz w:val="28"/>
          <w:szCs w:val="28"/>
        </w:rPr>
        <w:t xml:space="preserve"> </w:t>
      </w:r>
      <w:r>
        <w:rPr>
          <w:rFonts w:ascii="仿宋" w:hAnsi="仿宋" w:eastAsia="仿宋" w:cs="仿宋"/>
          <w:spacing w:val="13"/>
          <w:sz w:val="28"/>
          <w:szCs w:val="28"/>
        </w:rPr>
        <w:t>（见附件一</w:t>
      </w:r>
      <w:r>
        <w:rPr>
          <w:rFonts w:ascii="仿宋" w:hAnsi="仿宋" w:eastAsia="仿宋" w:cs="仿宋"/>
          <w:spacing w:val="-1"/>
          <w:sz w:val="28"/>
          <w:szCs w:val="28"/>
        </w:rPr>
        <w:t>）</w:t>
      </w:r>
      <w:r>
        <w:rPr>
          <w:rFonts w:ascii="仿宋" w:hAnsi="仿宋" w:eastAsia="仿宋" w:cs="仿宋"/>
          <w:spacing w:val="-70"/>
          <w:sz w:val="28"/>
          <w:szCs w:val="28"/>
        </w:rPr>
        <w:t xml:space="preserve"> </w:t>
      </w:r>
      <w:r>
        <w:rPr>
          <w:rFonts w:ascii="仿宋" w:hAnsi="仿宋" w:eastAsia="仿宋" w:cs="仿宋"/>
          <w:spacing w:val="-1"/>
          <w:sz w:val="28"/>
          <w:szCs w:val="28"/>
        </w:rPr>
        <w:t>，</w:t>
      </w:r>
      <w:r>
        <w:rPr>
          <w:rFonts w:ascii="仿宋" w:hAnsi="仿宋" w:eastAsia="仿宋" w:cs="仿宋"/>
          <w:spacing w:val="13"/>
          <w:sz w:val="28"/>
          <w:szCs w:val="28"/>
        </w:rPr>
        <w:t>按照业务归口</w:t>
      </w:r>
      <w:r>
        <w:rPr>
          <w:rFonts w:ascii="仿宋" w:hAnsi="仿宋" w:eastAsia="仿宋" w:cs="仿宋"/>
          <w:spacing w:val="12"/>
          <w:sz w:val="28"/>
          <w:szCs w:val="28"/>
        </w:rPr>
        <w:t>报送至</w:t>
      </w:r>
      <w:r>
        <w:rPr>
          <w:rFonts w:ascii="仿宋" w:hAnsi="仿宋" w:eastAsia="仿宋" w:cs="仿宋"/>
          <w:sz w:val="28"/>
          <w:szCs w:val="28"/>
        </w:rPr>
        <w:t xml:space="preserve"> </w:t>
      </w:r>
      <w:r>
        <w:rPr>
          <w:rFonts w:ascii="仿宋" w:hAnsi="仿宋" w:eastAsia="仿宋" w:cs="仿宋"/>
          <w:spacing w:val="8"/>
          <w:sz w:val="28"/>
          <w:szCs w:val="28"/>
        </w:rPr>
        <w:t>业务主管单位相关处室。</w:t>
      </w:r>
    </w:p>
    <w:p w14:paraId="390477D7">
      <w:pPr>
        <w:spacing w:line="359" w:lineRule="auto"/>
        <w:rPr>
          <w:rFonts w:ascii="仿宋" w:hAnsi="仿宋" w:eastAsia="仿宋" w:cs="仿宋"/>
          <w:sz w:val="28"/>
          <w:szCs w:val="28"/>
        </w:rPr>
        <w:sectPr>
          <w:pgSz w:w="11906" w:h="16839"/>
          <w:pgMar w:top="400" w:right="1684" w:bottom="400" w:left="1785" w:header="0" w:footer="850" w:gutter="0"/>
          <w:pgNumType w:fmt="decimal"/>
          <w:cols w:space="720" w:num="1"/>
        </w:sectPr>
      </w:pPr>
    </w:p>
    <w:p w14:paraId="38A2126F">
      <w:pPr>
        <w:spacing w:line="271" w:lineRule="auto"/>
        <w:rPr>
          <w:rFonts w:ascii="Arial"/>
          <w:sz w:val="21"/>
        </w:rPr>
      </w:pPr>
    </w:p>
    <w:p w14:paraId="67C99A50">
      <w:pPr>
        <w:spacing w:before="111" w:line="226" w:lineRule="auto"/>
        <w:ind w:left="778"/>
        <w:rPr>
          <w:rFonts w:ascii="黑体" w:hAnsi="黑体" w:eastAsia="黑体" w:cs="黑体"/>
          <w:sz w:val="34"/>
          <w:szCs w:val="34"/>
        </w:rPr>
      </w:pPr>
      <w:r>
        <w:rPr>
          <w:rFonts w:ascii="黑体" w:hAnsi="黑体" w:eastAsia="黑体" w:cs="黑体"/>
          <w:b/>
          <w:bCs/>
          <w:spacing w:val="12"/>
          <w:sz w:val="34"/>
          <w:szCs w:val="34"/>
        </w:rPr>
        <w:t>青海省青海湖生态保护基金会差旅费管理办法</w:t>
      </w:r>
    </w:p>
    <w:p w14:paraId="286A4207">
      <w:pPr>
        <w:spacing w:line="255" w:lineRule="auto"/>
        <w:rPr>
          <w:rFonts w:ascii="Arial"/>
          <w:sz w:val="21"/>
        </w:rPr>
      </w:pPr>
    </w:p>
    <w:p w14:paraId="73CE0CD3">
      <w:pPr>
        <w:spacing w:line="255" w:lineRule="auto"/>
        <w:rPr>
          <w:rFonts w:ascii="Arial"/>
          <w:sz w:val="21"/>
        </w:rPr>
      </w:pPr>
    </w:p>
    <w:p w14:paraId="5F7D3A85">
      <w:pPr>
        <w:spacing w:line="256" w:lineRule="auto"/>
        <w:rPr>
          <w:rFonts w:ascii="Arial"/>
          <w:sz w:val="21"/>
        </w:rPr>
      </w:pPr>
    </w:p>
    <w:p w14:paraId="4402C241">
      <w:pPr>
        <w:spacing w:before="91" w:line="222" w:lineRule="auto"/>
        <w:ind w:left="3346"/>
        <w:rPr>
          <w:rFonts w:ascii="黑体" w:hAnsi="黑体" w:eastAsia="黑体" w:cs="黑体"/>
          <w:sz w:val="28"/>
          <w:szCs w:val="28"/>
        </w:rPr>
      </w:pPr>
      <w:r>
        <w:rPr>
          <w:rFonts w:ascii="黑体" w:hAnsi="黑体" w:eastAsia="黑体" w:cs="黑体"/>
          <w:spacing w:val="-5"/>
          <w:sz w:val="28"/>
          <w:szCs w:val="28"/>
        </w:rPr>
        <w:t>第一章</w:t>
      </w:r>
      <w:r>
        <w:rPr>
          <w:rFonts w:ascii="黑体" w:hAnsi="黑体" w:eastAsia="黑体" w:cs="黑体"/>
          <w:spacing w:val="29"/>
          <w:sz w:val="28"/>
          <w:szCs w:val="28"/>
        </w:rPr>
        <w:t xml:space="preserve"> </w:t>
      </w:r>
      <w:r>
        <w:rPr>
          <w:rFonts w:ascii="黑体" w:hAnsi="黑体" w:eastAsia="黑体" w:cs="黑体"/>
          <w:spacing w:val="-5"/>
          <w:sz w:val="28"/>
          <w:szCs w:val="28"/>
        </w:rPr>
        <w:t>总 则</w:t>
      </w:r>
    </w:p>
    <w:p w14:paraId="4588462F">
      <w:pPr>
        <w:spacing w:before="307" w:line="380" w:lineRule="auto"/>
        <w:ind w:left="64" w:right="811" w:firstLine="9"/>
        <w:rPr>
          <w:rFonts w:ascii="仿宋" w:hAnsi="仿宋" w:eastAsia="仿宋" w:cs="仿宋"/>
          <w:sz w:val="28"/>
          <w:szCs w:val="28"/>
        </w:rPr>
      </w:pPr>
      <w:r>
        <w:rPr>
          <w:rFonts w:ascii="仿宋" w:hAnsi="仿宋" w:eastAsia="仿宋" w:cs="仿宋"/>
          <w:b/>
          <w:bCs/>
          <w:spacing w:val="-3"/>
          <w:sz w:val="28"/>
          <w:szCs w:val="28"/>
        </w:rPr>
        <w:t>第一条</w:t>
      </w:r>
      <w:r>
        <w:rPr>
          <w:rFonts w:ascii="仿宋" w:hAnsi="仿宋" w:eastAsia="仿宋" w:cs="仿宋"/>
          <w:spacing w:val="-3"/>
          <w:sz w:val="28"/>
          <w:szCs w:val="28"/>
        </w:rPr>
        <w:t xml:space="preserve"> 差旅费是指工作人员临时到常驻地以外地区公务出差所</w:t>
      </w:r>
      <w:r>
        <w:rPr>
          <w:rFonts w:ascii="仿宋" w:hAnsi="仿宋" w:eastAsia="仿宋" w:cs="仿宋"/>
          <w:spacing w:val="14"/>
          <w:sz w:val="28"/>
          <w:szCs w:val="28"/>
        </w:rPr>
        <w:t xml:space="preserve"> </w:t>
      </w:r>
      <w:r>
        <w:rPr>
          <w:rFonts w:ascii="仿宋" w:hAnsi="仿宋" w:eastAsia="仿宋" w:cs="仿宋"/>
          <w:spacing w:val="-2"/>
          <w:sz w:val="28"/>
          <w:szCs w:val="28"/>
        </w:rPr>
        <w:t>发生的城市间交通费、住宿费、伙食补助费和市内交通费。</w:t>
      </w:r>
    </w:p>
    <w:p w14:paraId="5BAD7E41">
      <w:pPr>
        <w:spacing w:before="68" w:line="222" w:lineRule="auto"/>
        <w:ind w:left="73"/>
        <w:rPr>
          <w:rFonts w:ascii="仿宋" w:hAnsi="仿宋" w:eastAsia="仿宋" w:cs="仿宋"/>
          <w:sz w:val="28"/>
          <w:szCs w:val="28"/>
        </w:rPr>
      </w:pPr>
      <w:r>
        <w:rPr>
          <w:rFonts w:ascii="仿宋" w:hAnsi="仿宋" w:eastAsia="仿宋" w:cs="仿宋"/>
          <w:b/>
          <w:bCs/>
          <w:spacing w:val="-3"/>
          <w:sz w:val="28"/>
          <w:szCs w:val="28"/>
        </w:rPr>
        <w:t>第二条</w:t>
      </w:r>
      <w:r>
        <w:rPr>
          <w:rFonts w:ascii="仿宋" w:hAnsi="仿宋" w:eastAsia="仿宋" w:cs="仿宋"/>
          <w:spacing w:val="-3"/>
          <w:sz w:val="28"/>
          <w:szCs w:val="28"/>
        </w:rPr>
        <w:t xml:space="preserve"> 应当建立健全公务出差审批制度。出差必须按规定报经</w:t>
      </w:r>
    </w:p>
    <w:p w14:paraId="1AAC48C3">
      <w:pPr>
        <w:spacing w:before="305" w:line="396" w:lineRule="auto"/>
        <w:ind w:left="50" w:right="174" w:firstLine="9"/>
        <w:rPr>
          <w:rFonts w:ascii="仿宋" w:hAnsi="仿宋" w:eastAsia="仿宋" w:cs="仿宋"/>
          <w:sz w:val="28"/>
          <w:szCs w:val="28"/>
        </w:rPr>
      </w:pPr>
      <w:r>
        <w:rPr>
          <w:rFonts w:ascii="仿宋" w:hAnsi="仿宋" w:eastAsia="仿宋" w:cs="仿宋"/>
          <w:spacing w:val="-13"/>
          <w:sz w:val="28"/>
          <w:szCs w:val="28"/>
        </w:rPr>
        <w:t>单位有关领导批准，从严控制出差人数和天数；严格差旅费预算管理，</w:t>
      </w:r>
      <w:r>
        <w:rPr>
          <w:rFonts w:ascii="仿宋" w:hAnsi="仿宋" w:eastAsia="仿宋" w:cs="仿宋"/>
          <w:spacing w:val="12"/>
          <w:sz w:val="28"/>
          <w:szCs w:val="28"/>
        </w:rPr>
        <w:t xml:space="preserve"> </w:t>
      </w:r>
      <w:r>
        <w:rPr>
          <w:rFonts w:ascii="仿宋" w:hAnsi="仿宋" w:eastAsia="仿宋" w:cs="仿宋"/>
          <w:spacing w:val="-12"/>
          <w:sz w:val="28"/>
          <w:szCs w:val="28"/>
        </w:rPr>
        <w:t>控制差旅费支出规模；严禁无实质内容、无明确公</w:t>
      </w:r>
      <w:r>
        <w:rPr>
          <w:rFonts w:ascii="仿宋" w:hAnsi="仿宋" w:eastAsia="仿宋" w:cs="仿宋"/>
          <w:spacing w:val="-13"/>
          <w:sz w:val="28"/>
          <w:szCs w:val="28"/>
        </w:rPr>
        <w:t>务目的的差旅活动，</w:t>
      </w:r>
      <w:r>
        <w:rPr>
          <w:rFonts w:ascii="仿宋" w:hAnsi="仿宋" w:eastAsia="仿宋" w:cs="仿宋"/>
          <w:sz w:val="28"/>
          <w:szCs w:val="28"/>
        </w:rPr>
        <w:t xml:space="preserve"> </w:t>
      </w:r>
      <w:r>
        <w:rPr>
          <w:rFonts w:ascii="仿宋" w:hAnsi="仿宋" w:eastAsia="仿宋" w:cs="仿宋"/>
          <w:spacing w:val="-5"/>
          <w:sz w:val="28"/>
          <w:szCs w:val="28"/>
        </w:rPr>
        <w:t>严禁以任何名义和方式变相旅游，严禁异地部门间无实质内容的学习</w:t>
      </w:r>
      <w:r>
        <w:rPr>
          <w:rFonts w:ascii="仿宋" w:hAnsi="仿宋" w:eastAsia="仿宋" w:cs="仿宋"/>
          <w:spacing w:val="14"/>
          <w:sz w:val="28"/>
          <w:szCs w:val="28"/>
        </w:rPr>
        <w:t xml:space="preserve"> </w:t>
      </w:r>
      <w:r>
        <w:rPr>
          <w:rFonts w:ascii="仿宋" w:hAnsi="仿宋" w:eastAsia="仿宋" w:cs="仿宋"/>
          <w:spacing w:val="-5"/>
          <w:sz w:val="28"/>
          <w:szCs w:val="28"/>
        </w:rPr>
        <w:t>交流和考察调研。</w:t>
      </w:r>
    </w:p>
    <w:p w14:paraId="7B2EC0CF">
      <w:pPr>
        <w:spacing w:before="92" w:line="376" w:lineRule="auto"/>
        <w:ind w:left="48" w:right="468" w:firstLine="24"/>
        <w:rPr>
          <w:rFonts w:ascii="仿宋" w:hAnsi="仿宋" w:eastAsia="仿宋" w:cs="仿宋"/>
          <w:sz w:val="28"/>
          <w:szCs w:val="28"/>
        </w:rPr>
      </w:pPr>
      <w:r>
        <w:rPr>
          <w:rFonts w:ascii="仿宋" w:hAnsi="仿宋" w:eastAsia="仿宋" w:cs="仿宋"/>
          <w:b/>
          <w:bCs/>
          <w:spacing w:val="-3"/>
          <w:sz w:val="28"/>
          <w:szCs w:val="28"/>
        </w:rPr>
        <w:t>第三条</w:t>
      </w:r>
      <w:r>
        <w:rPr>
          <w:rFonts w:ascii="仿宋" w:hAnsi="仿宋" w:eastAsia="仿宋" w:cs="仿宋"/>
          <w:spacing w:val="-3"/>
          <w:sz w:val="28"/>
          <w:szCs w:val="28"/>
        </w:rPr>
        <w:t xml:space="preserve"> 基金会按照分地区、分级别、分项目的原则制定差旅费</w:t>
      </w:r>
      <w:r>
        <w:rPr>
          <w:rFonts w:ascii="仿宋" w:hAnsi="仿宋" w:eastAsia="仿宋" w:cs="仿宋"/>
          <w:spacing w:val="3"/>
          <w:sz w:val="28"/>
          <w:szCs w:val="28"/>
        </w:rPr>
        <w:t xml:space="preserve">   </w:t>
      </w:r>
      <w:r>
        <w:rPr>
          <w:rFonts w:ascii="仿宋" w:hAnsi="仿宋" w:eastAsia="仿宋" w:cs="仿宋"/>
          <w:spacing w:val="-4"/>
          <w:sz w:val="28"/>
          <w:szCs w:val="28"/>
        </w:rPr>
        <w:t>标准，并根据经济社会发展、物价及消费水平变动情况适时调整。</w:t>
      </w:r>
    </w:p>
    <w:p w14:paraId="7821AFA3">
      <w:pPr>
        <w:spacing w:line="304" w:lineRule="auto"/>
        <w:rPr>
          <w:rFonts w:ascii="Arial"/>
          <w:sz w:val="21"/>
        </w:rPr>
      </w:pPr>
    </w:p>
    <w:p w14:paraId="3E486233">
      <w:pPr>
        <w:spacing w:line="305" w:lineRule="auto"/>
        <w:rPr>
          <w:rFonts w:ascii="Arial"/>
          <w:sz w:val="21"/>
        </w:rPr>
      </w:pPr>
    </w:p>
    <w:p w14:paraId="21F118FE">
      <w:pPr>
        <w:spacing w:before="91" w:line="222" w:lineRule="auto"/>
        <w:ind w:left="2857"/>
        <w:rPr>
          <w:rFonts w:ascii="黑体" w:hAnsi="黑体" w:eastAsia="黑体" w:cs="黑体"/>
          <w:sz w:val="28"/>
          <w:szCs w:val="28"/>
        </w:rPr>
      </w:pPr>
      <w:r>
        <w:rPr>
          <w:rFonts w:ascii="黑体" w:hAnsi="黑体" w:eastAsia="黑体" w:cs="黑体"/>
          <w:spacing w:val="-8"/>
          <w:sz w:val="28"/>
          <w:szCs w:val="28"/>
        </w:rPr>
        <w:t>第二章</w:t>
      </w:r>
      <w:r>
        <w:rPr>
          <w:rFonts w:ascii="黑体" w:hAnsi="黑体" w:eastAsia="黑体" w:cs="黑体"/>
          <w:spacing w:val="61"/>
          <w:sz w:val="28"/>
          <w:szCs w:val="28"/>
        </w:rPr>
        <w:t xml:space="preserve"> </w:t>
      </w:r>
      <w:r>
        <w:rPr>
          <w:rFonts w:ascii="黑体" w:hAnsi="黑体" w:eastAsia="黑体" w:cs="黑体"/>
          <w:spacing w:val="-8"/>
          <w:sz w:val="28"/>
          <w:szCs w:val="28"/>
        </w:rPr>
        <w:t>区域间交通费</w:t>
      </w:r>
    </w:p>
    <w:p w14:paraId="0F2D66E7">
      <w:pPr>
        <w:spacing w:before="308" w:line="378" w:lineRule="auto"/>
        <w:ind w:left="50" w:right="814" w:firstLine="22"/>
        <w:rPr>
          <w:rFonts w:ascii="仿宋" w:hAnsi="仿宋" w:eastAsia="仿宋" w:cs="仿宋"/>
          <w:sz w:val="28"/>
          <w:szCs w:val="28"/>
        </w:rPr>
      </w:pPr>
      <w:r>
        <w:rPr>
          <w:rFonts w:ascii="仿宋" w:hAnsi="仿宋" w:eastAsia="仿宋" w:cs="仿宋"/>
          <w:b/>
          <w:bCs/>
          <w:spacing w:val="-3"/>
          <w:sz w:val="28"/>
          <w:szCs w:val="28"/>
        </w:rPr>
        <w:t>第四条</w:t>
      </w:r>
      <w:r>
        <w:rPr>
          <w:rFonts w:ascii="仿宋" w:hAnsi="仿宋" w:eastAsia="仿宋" w:cs="仿宋"/>
          <w:spacing w:val="-3"/>
          <w:sz w:val="28"/>
          <w:szCs w:val="28"/>
        </w:rPr>
        <w:t xml:space="preserve"> 城市间交通费是指工作人员因公到常驻地以外地区出差</w:t>
      </w:r>
      <w:r>
        <w:rPr>
          <w:rFonts w:ascii="仿宋" w:hAnsi="仿宋" w:eastAsia="仿宋" w:cs="仿宋"/>
          <w:spacing w:val="11"/>
          <w:sz w:val="28"/>
          <w:szCs w:val="28"/>
        </w:rPr>
        <w:t xml:space="preserve"> </w:t>
      </w:r>
      <w:r>
        <w:rPr>
          <w:rFonts w:ascii="仿宋" w:hAnsi="仿宋" w:eastAsia="仿宋" w:cs="仿宋"/>
          <w:spacing w:val="-2"/>
          <w:sz w:val="28"/>
          <w:szCs w:val="28"/>
        </w:rPr>
        <w:t>乘坐火车、轮船、飞机等交通工具所发生的费用。</w:t>
      </w:r>
    </w:p>
    <w:p w14:paraId="48184870">
      <w:pPr>
        <w:spacing w:before="98" w:line="352" w:lineRule="auto"/>
        <w:ind w:left="62" w:right="811" w:firstLine="11"/>
        <w:rPr>
          <w:rFonts w:ascii="仿宋" w:hAnsi="仿宋" w:eastAsia="仿宋" w:cs="仿宋"/>
          <w:sz w:val="28"/>
          <w:szCs w:val="28"/>
        </w:rPr>
      </w:pPr>
      <w:r>
        <w:rPr>
          <w:rFonts w:ascii="仿宋" w:hAnsi="仿宋" w:eastAsia="仿宋" w:cs="仿宋"/>
          <w:b/>
          <w:bCs/>
          <w:spacing w:val="-3"/>
          <w:sz w:val="28"/>
          <w:szCs w:val="28"/>
        </w:rPr>
        <w:t>第五条</w:t>
      </w:r>
      <w:r>
        <w:rPr>
          <w:rFonts w:ascii="仿宋" w:hAnsi="仿宋" w:eastAsia="仿宋" w:cs="仿宋"/>
          <w:spacing w:val="-3"/>
          <w:sz w:val="28"/>
          <w:szCs w:val="28"/>
        </w:rPr>
        <w:t xml:space="preserve"> 基金会出差人员应当按规定等级乘坐交通工具。乘坐交</w:t>
      </w:r>
      <w:r>
        <w:rPr>
          <w:rFonts w:ascii="仿宋" w:hAnsi="仿宋" w:eastAsia="仿宋" w:cs="仿宋"/>
          <w:spacing w:val="14"/>
          <w:sz w:val="28"/>
          <w:szCs w:val="28"/>
        </w:rPr>
        <w:t xml:space="preserve"> </w:t>
      </w:r>
      <w:r>
        <w:rPr>
          <w:rFonts w:ascii="仿宋" w:hAnsi="仿宋" w:eastAsia="仿宋" w:cs="仿宋"/>
          <w:spacing w:val="-5"/>
          <w:sz w:val="28"/>
          <w:szCs w:val="28"/>
        </w:rPr>
        <w:t>通工具的等级见下表：</w:t>
      </w:r>
    </w:p>
    <w:p w14:paraId="6902F828">
      <w:pPr>
        <w:spacing w:before="16" w:line="219" w:lineRule="auto"/>
        <w:jc w:val="right"/>
        <w:rPr>
          <w:rFonts w:ascii="仿宋" w:hAnsi="仿宋" w:eastAsia="仿宋" w:cs="仿宋"/>
          <w:sz w:val="24"/>
          <w:szCs w:val="24"/>
        </w:rPr>
      </w:pPr>
      <w:r>
        <w:rPr>
          <w:rFonts w:ascii="仿宋" w:hAnsi="仿宋" w:eastAsia="仿宋" w:cs="仿宋"/>
          <w:b/>
          <w:bCs/>
          <w:spacing w:val="-11"/>
          <w:sz w:val="24"/>
          <w:szCs w:val="24"/>
        </w:rPr>
        <w:t>级别</w:t>
      </w:r>
      <w:r>
        <w:rPr>
          <w:rFonts w:ascii="仿宋" w:hAnsi="仿宋" w:eastAsia="仿宋" w:cs="仿宋"/>
          <w:spacing w:val="-11"/>
          <w:sz w:val="24"/>
          <w:szCs w:val="24"/>
        </w:rPr>
        <w:t xml:space="preserve">            </w:t>
      </w:r>
      <w:r>
        <w:rPr>
          <w:rFonts w:ascii="仿宋" w:hAnsi="仿宋" w:eastAsia="仿宋" w:cs="仿宋"/>
          <w:b/>
          <w:bCs/>
          <w:spacing w:val="-11"/>
          <w:sz w:val="24"/>
          <w:szCs w:val="24"/>
        </w:rPr>
        <w:t>飞机</w:t>
      </w:r>
      <w:r>
        <w:rPr>
          <w:rFonts w:ascii="仿宋" w:hAnsi="仿宋" w:eastAsia="仿宋" w:cs="仿宋"/>
          <w:spacing w:val="3"/>
          <w:sz w:val="24"/>
          <w:szCs w:val="24"/>
        </w:rPr>
        <w:t xml:space="preserve">          </w:t>
      </w:r>
      <w:r>
        <w:rPr>
          <w:rFonts w:ascii="仿宋" w:hAnsi="仿宋" w:eastAsia="仿宋" w:cs="仿宋"/>
          <w:b/>
          <w:bCs/>
          <w:spacing w:val="-11"/>
          <w:sz w:val="24"/>
          <w:szCs w:val="24"/>
        </w:rPr>
        <w:t>火车</w:t>
      </w:r>
      <w:r>
        <w:rPr>
          <w:rFonts w:ascii="仿宋" w:hAnsi="仿宋" w:eastAsia="仿宋" w:cs="仿宋"/>
          <w:spacing w:val="5"/>
          <w:sz w:val="24"/>
          <w:szCs w:val="24"/>
        </w:rPr>
        <w:t xml:space="preserve">          </w:t>
      </w:r>
      <w:r>
        <w:rPr>
          <w:rFonts w:ascii="仿宋" w:hAnsi="仿宋" w:eastAsia="仿宋" w:cs="仿宋"/>
          <w:b/>
          <w:bCs/>
          <w:spacing w:val="-11"/>
          <w:sz w:val="24"/>
          <w:szCs w:val="24"/>
        </w:rPr>
        <w:t>汽车（不包括出租小汽车）</w:t>
      </w:r>
    </w:p>
    <w:p w14:paraId="46E47A2F">
      <w:pPr>
        <w:spacing w:before="83"/>
      </w:pPr>
    </w:p>
    <w:tbl>
      <w:tblPr>
        <w:tblStyle w:val="6"/>
        <w:tblW w:w="7894" w:type="dxa"/>
        <w:tblInd w:w="4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85"/>
        <w:gridCol w:w="1149"/>
        <w:gridCol w:w="3222"/>
        <w:gridCol w:w="1438"/>
      </w:tblGrid>
      <w:tr w14:paraId="58201F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9" w:hRule="atLeast"/>
        </w:trPr>
        <w:tc>
          <w:tcPr>
            <w:tcW w:w="2085" w:type="dxa"/>
            <w:vAlign w:val="top"/>
          </w:tcPr>
          <w:p w14:paraId="4EA8BE52">
            <w:pPr>
              <w:pStyle w:val="7"/>
              <w:spacing w:before="1" w:line="206" w:lineRule="auto"/>
              <w:rPr>
                <w:sz w:val="24"/>
                <w:szCs w:val="24"/>
              </w:rPr>
            </w:pPr>
            <w:r>
              <w:rPr>
                <w:spacing w:val="-4"/>
                <w:sz w:val="24"/>
                <w:szCs w:val="24"/>
              </w:rPr>
              <w:t>基金会理事会成员</w:t>
            </w:r>
          </w:p>
        </w:tc>
        <w:tc>
          <w:tcPr>
            <w:tcW w:w="1149" w:type="dxa"/>
            <w:vAlign w:val="top"/>
          </w:tcPr>
          <w:p w14:paraId="76052A51">
            <w:pPr>
              <w:pStyle w:val="7"/>
              <w:spacing w:before="1" w:line="206" w:lineRule="auto"/>
              <w:ind w:left="195"/>
              <w:rPr>
                <w:sz w:val="24"/>
                <w:szCs w:val="24"/>
              </w:rPr>
            </w:pPr>
            <w:r>
              <w:rPr>
                <w:spacing w:val="-8"/>
                <w:sz w:val="24"/>
                <w:szCs w:val="24"/>
              </w:rPr>
              <w:t>经济舱</w:t>
            </w:r>
          </w:p>
        </w:tc>
        <w:tc>
          <w:tcPr>
            <w:tcW w:w="3222" w:type="dxa"/>
            <w:vAlign w:val="top"/>
          </w:tcPr>
          <w:p w14:paraId="733CED31">
            <w:pPr>
              <w:pStyle w:val="7"/>
              <w:spacing w:before="1" w:line="206" w:lineRule="auto"/>
              <w:ind w:left="260"/>
              <w:rPr>
                <w:sz w:val="24"/>
                <w:szCs w:val="24"/>
              </w:rPr>
            </w:pPr>
            <w:r>
              <w:rPr>
                <w:spacing w:val="-4"/>
                <w:sz w:val="24"/>
                <w:szCs w:val="24"/>
              </w:rPr>
              <w:t>火车软席（软座、软卧)、</w:t>
            </w:r>
          </w:p>
        </w:tc>
        <w:tc>
          <w:tcPr>
            <w:tcW w:w="1438" w:type="dxa"/>
            <w:vAlign w:val="top"/>
          </w:tcPr>
          <w:p w14:paraId="2677D9DB">
            <w:pPr>
              <w:pStyle w:val="7"/>
              <w:spacing w:before="1" w:line="206" w:lineRule="auto"/>
              <w:ind w:left="404"/>
              <w:rPr>
                <w:sz w:val="24"/>
                <w:szCs w:val="24"/>
              </w:rPr>
            </w:pPr>
            <w:r>
              <w:rPr>
                <w:spacing w:val="-11"/>
                <w:sz w:val="24"/>
                <w:szCs w:val="24"/>
              </w:rPr>
              <w:t>凭据报销</w:t>
            </w:r>
          </w:p>
        </w:tc>
      </w:tr>
      <w:tr w14:paraId="56922F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2" w:hRule="atLeast"/>
        </w:trPr>
        <w:tc>
          <w:tcPr>
            <w:tcW w:w="2085" w:type="dxa"/>
            <w:vAlign w:val="top"/>
          </w:tcPr>
          <w:p w14:paraId="28629420">
            <w:pPr>
              <w:rPr>
                <w:rFonts w:ascii="Arial"/>
                <w:sz w:val="21"/>
              </w:rPr>
            </w:pPr>
          </w:p>
        </w:tc>
        <w:tc>
          <w:tcPr>
            <w:tcW w:w="1149" w:type="dxa"/>
            <w:vAlign w:val="top"/>
          </w:tcPr>
          <w:p w14:paraId="00DC3C59">
            <w:pPr>
              <w:rPr>
                <w:rFonts w:ascii="Arial"/>
                <w:sz w:val="21"/>
              </w:rPr>
            </w:pPr>
          </w:p>
        </w:tc>
        <w:tc>
          <w:tcPr>
            <w:tcW w:w="3222" w:type="dxa"/>
            <w:vAlign w:val="top"/>
          </w:tcPr>
          <w:p w14:paraId="77BB9DC5">
            <w:pPr>
              <w:pStyle w:val="7"/>
              <w:spacing w:before="32" w:line="207" w:lineRule="auto"/>
              <w:ind w:left="380"/>
              <w:rPr>
                <w:sz w:val="24"/>
                <w:szCs w:val="24"/>
              </w:rPr>
            </w:pPr>
            <w:r>
              <w:rPr>
                <w:spacing w:val="-6"/>
                <w:sz w:val="24"/>
                <w:szCs w:val="24"/>
              </w:rPr>
              <w:t>高铁/动车二等座</w:t>
            </w:r>
          </w:p>
        </w:tc>
        <w:tc>
          <w:tcPr>
            <w:tcW w:w="1438" w:type="dxa"/>
            <w:vAlign w:val="top"/>
          </w:tcPr>
          <w:p w14:paraId="3C48C065">
            <w:pPr>
              <w:rPr>
                <w:rFonts w:ascii="Arial"/>
                <w:sz w:val="21"/>
              </w:rPr>
            </w:pPr>
          </w:p>
        </w:tc>
      </w:tr>
      <w:tr w14:paraId="5A2A29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99" w:hRule="atLeast"/>
        </w:trPr>
        <w:tc>
          <w:tcPr>
            <w:tcW w:w="2085" w:type="dxa"/>
            <w:vAlign w:val="top"/>
          </w:tcPr>
          <w:p w14:paraId="408AB57F">
            <w:pPr>
              <w:pStyle w:val="7"/>
              <w:spacing w:before="32" w:line="197" w:lineRule="auto"/>
              <w:rPr>
                <w:sz w:val="24"/>
                <w:szCs w:val="24"/>
              </w:rPr>
            </w:pPr>
            <w:r>
              <w:rPr>
                <w:spacing w:val="-5"/>
                <w:sz w:val="24"/>
                <w:szCs w:val="24"/>
              </w:rPr>
              <w:t>基金会工作人员</w:t>
            </w:r>
          </w:p>
        </w:tc>
        <w:tc>
          <w:tcPr>
            <w:tcW w:w="1149" w:type="dxa"/>
            <w:vAlign w:val="top"/>
          </w:tcPr>
          <w:p w14:paraId="2DA1CF68">
            <w:pPr>
              <w:pStyle w:val="7"/>
              <w:spacing w:before="32" w:line="197" w:lineRule="auto"/>
              <w:ind w:left="195"/>
              <w:rPr>
                <w:sz w:val="24"/>
                <w:szCs w:val="24"/>
              </w:rPr>
            </w:pPr>
            <w:r>
              <w:rPr>
                <w:spacing w:val="-8"/>
                <w:sz w:val="24"/>
                <w:szCs w:val="24"/>
              </w:rPr>
              <w:t>经济舱</w:t>
            </w:r>
          </w:p>
        </w:tc>
        <w:tc>
          <w:tcPr>
            <w:tcW w:w="3222" w:type="dxa"/>
            <w:vAlign w:val="top"/>
          </w:tcPr>
          <w:p w14:paraId="710B693A">
            <w:pPr>
              <w:pStyle w:val="7"/>
              <w:spacing w:before="32" w:line="197" w:lineRule="auto"/>
              <w:ind w:left="260"/>
              <w:rPr>
                <w:sz w:val="24"/>
                <w:szCs w:val="24"/>
              </w:rPr>
            </w:pPr>
            <w:r>
              <w:rPr>
                <w:spacing w:val="-4"/>
                <w:sz w:val="24"/>
                <w:szCs w:val="24"/>
              </w:rPr>
              <w:t>火车硬席（硬座、硬卧)、</w:t>
            </w:r>
          </w:p>
        </w:tc>
        <w:tc>
          <w:tcPr>
            <w:tcW w:w="1438" w:type="dxa"/>
            <w:vAlign w:val="top"/>
          </w:tcPr>
          <w:p w14:paraId="6C972B2E">
            <w:pPr>
              <w:pStyle w:val="7"/>
              <w:spacing w:before="32" w:line="197" w:lineRule="auto"/>
              <w:jc w:val="right"/>
              <w:rPr>
                <w:sz w:val="24"/>
                <w:szCs w:val="24"/>
              </w:rPr>
            </w:pPr>
            <w:r>
              <w:rPr>
                <w:spacing w:val="-13"/>
                <w:sz w:val="24"/>
                <w:szCs w:val="24"/>
              </w:rPr>
              <w:t>凭据报销</w:t>
            </w:r>
          </w:p>
        </w:tc>
      </w:tr>
      <w:tr w14:paraId="4B66D4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5" w:hRule="atLeast"/>
        </w:trPr>
        <w:tc>
          <w:tcPr>
            <w:tcW w:w="2085" w:type="dxa"/>
            <w:vAlign w:val="top"/>
          </w:tcPr>
          <w:p w14:paraId="08789F79">
            <w:pPr>
              <w:rPr>
                <w:rFonts w:ascii="Arial"/>
                <w:sz w:val="21"/>
              </w:rPr>
            </w:pPr>
          </w:p>
        </w:tc>
        <w:tc>
          <w:tcPr>
            <w:tcW w:w="1149" w:type="dxa"/>
            <w:vAlign w:val="top"/>
          </w:tcPr>
          <w:p w14:paraId="549AA300">
            <w:pPr>
              <w:rPr>
                <w:rFonts w:ascii="Arial"/>
                <w:sz w:val="21"/>
              </w:rPr>
            </w:pPr>
          </w:p>
        </w:tc>
        <w:tc>
          <w:tcPr>
            <w:tcW w:w="3222" w:type="dxa"/>
            <w:vAlign w:val="top"/>
          </w:tcPr>
          <w:p w14:paraId="1A87176B">
            <w:pPr>
              <w:pStyle w:val="7"/>
              <w:spacing w:before="19" w:line="181" w:lineRule="auto"/>
              <w:ind w:left="380"/>
              <w:rPr>
                <w:sz w:val="24"/>
                <w:szCs w:val="24"/>
              </w:rPr>
            </w:pPr>
            <w:r>
              <w:rPr>
                <w:spacing w:val="-6"/>
                <w:sz w:val="24"/>
                <w:szCs w:val="24"/>
              </w:rPr>
              <w:t>高铁/动车二等座</w:t>
            </w:r>
          </w:p>
        </w:tc>
        <w:tc>
          <w:tcPr>
            <w:tcW w:w="1438" w:type="dxa"/>
            <w:vAlign w:val="top"/>
          </w:tcPr>
          <w:p w14:paraId="01D45137">
            <w:pPr>
              <w:rPr>
                <w:rFonts w:ascii="Arial"/>
                <w:sz w:val="21"/>
              </w:rPr>
            </w:pPr>
          </w:p>
        </w:tc>
      </w:tr>
    </w:tbl>
    <w:p w14:paraId="60C632C2">
      <w:pPr>
        <w:spacing w:line="460" w:lineRule="auto"/>
        <w:rPr>
          <w:rFonts w:ascii="Arial"/>
          <w:sz w:val="21"/>
        </w:rPr>
      </w:pPr>
    </w:p>
    <w:p w14:paraId="19050FBD">
      <w:pPr>
        <w:spacing w:before="92" w:line="220" w:lineRule="auto"/>
        <w:ind w:left="73"/>
        <w:rPr>
          <w:rFonts w:ascii="仿宋" w:hAnsi="仿宋" w:eastAsia="仿宋" w:cs="仿宋"/>
          <w:sz w:val="28"/>
          <w:szCs w:val="28"/>
        </w:rPr>
      </w:pPr>
      <w:r>
        <w:rPr>
          <w:rFonts w:ascii="仿宋" w:hAnsi="仿宋" w:eastAsia="仿宋" w:cs="仿宋"/>
          <w:b/>
          <w:bCs/>
          <w:spacing w:val="-3"/>
          <w:sz w:val="28"/>
          <w:szCs w:val="28"/>
        </w:rPr>
        <w:t>第六条</w:t>
      </w:r>
      <w:r>
        <w:rPr>
          <w:rFonts w:ascii="仿宋" w:hAnsi="仿宋" w:eastAsia="仿宋" w:cs="仿宋"/>
          <w:spacing w:val="-3"/>
          <w:sz w:val="28"/>
          <w:szCs w:val="28"/>
        </w:rPr>
        <w:t xml:space="preserve"> 到出差目的地有多种交通工具可选择时，出差人员在不</w:t>
      </w:r>
    </w:p>
    <w:p w14:paraId="506E4648">
      <w:pPr>
        <w:spacing w:line="220" w:lineRule="auto"/>
        <w:rPr>
          <w:rFonts w:ascii="仿宋" w:hAnsi="仿宋" w:eastAsia="仿宋" w:cs="仿宋"/>
          <w:sz w:val="28"/>
          <w:szCs w:val="28"/>
        </w:rPr>
        <w:sectPr>
          <w:pgSz w:w="11906" w:h="16840"/>
          <w:pgMar w:top="400" w:right="1594" w:bottom="400" w:left="1785" w:header="0" w:footer="850" w:gutter="0"/>
          <w:pgNumType w:fmt="decimal"/>
          <w:cols w:space="720" w:num="1"/>
        </w:sectPr>
      </w:pPr>
    </w:p>
    <w:p w14:paraId="2BBF3ACB">
      <w:pPr>
        <w:spacing w:line="289" w:lineRule="auto"/>
        <w:rPr>
          <w:rFonts w:ascii="Arial"/>
          <w:sz w:val="21"/>
        </w:rPr>
      </w:pPr>
    </w:p>
    <w:p w14:paraId="674E6D5C">
      <w:pPr>
        <w:spacing w:line="289" w:lineRule="auto"/>
        <w:rPr>
          <w:rFonts w:ascii="Arial"/>
          <w:sz w:val="21"/>
        </w:rPr>
      </w:pPr>
    </w:p>
    <w:p w14:paraId="4FB09FEA">
      <w:pPr>
        <w:spacing w:line="289" w:lineRule="auto"/>
        <w:rPr>
          <w:rFonts w:ascii="Arial"/>
          <w:sz w:val="21"/>
        </w:rPr>
      </w:pPr>
    </w:p>
    <w:p w14:paraId="28CEA22A">
      <w:pPr>
        <w:spacing w:line="289" w:lineRule="auto"/>
        <w:rPr>
          <w:rFonts w:ascii="Arial"/>
          <w:sz w:val="21"/>
        </w:rPr>
      </w:pPr>
    </w:p>
    <w:p w14:paraId="40CB4178">
      <w:pPr>
        <w:spacing w:before="91" w:line="380" w:lineRule="auto"/>
        <w:ind w:left="54" w:firstLine="1"/>
        <w:rPr>
          <w:rFonts w:ascii="仿宋" w:hAnsi="仿宋" w:eastAsia="仿宋" w:cs="仿宋"/>
          <w:sz w:val="28"/>
          <w:szCs w:val="28"/>
        </w:rPr>
      </w:pPr>
      <w:r>
        <w:rPr>
          <w:rFonts w:ascii="仿宋" w:hAnsi="仿宋" w:eastAsia="仿宋" w:cs="仿宋"/>
          <w:spacing w:val="-4"/>
          <w:sz w:val="28"/>
          <w:szCs w:val="28"/>
        </w:rPr>
        <w:t>影响公务、确保安全的前提下，应当选乘相对经济便捷的交通工具。</w:t>
      </w:r>
      <w:r>
        <w:rPr>
          <w:rFonts w:ascii="仿宋" w:hAnsi="仿宋" w:eastAsia="仿宋" w:cs="仿宋"/>
          <w:spacing w:val="1"/>
          <w:sz w:val="28"/>
          <w:szCs w:val="28"/>
        </w:rPr>
        <w:t xml:space="preserve"> </w:t>
      </w:r>
      <w:r>
        <w:rPr>
          <w:rFonts w:ascii="仿宋" w:hAnsi="仿宋" w:eastAsia="仿宋" w:cs="仿宋"/>
          <w:spacing w:val="-2"/>
          <w:sz w:val="28"/>
          <w:szCs w:val="28"/>
        </w:rPr>
        <w:t>未按规定等级乘坐交通工具的，超支部分由个人自理。</w:t>
      </w:r>
    </w:p>
    <w:p w14:paraId="7A2D0E53">
      <w:pPr>
        <w:spacing w:before="86" w:line="399" w:lineRule="auto"/>
        <w:ind w:left="57" w:right="278" w:firstLine="15"/>
        <w:rPr>
          <w:rFonts w:ascii="仿宋" w:hAnsi="仿宋" w:eastAsia="仿宋" w:cs="仿宋"/>
          <w:sz w:val="28"/>
          <w:szCs w:val="28"/>
        </w:rPr>
      </w:pPr>
      <w:r>
        <w:rPr>
          <w:rFonts w:ascii="仿宋" w:hAnsi="仿宋" w:eastAsia="仿宋" w:cs="仿宋"/>
          <w:b/>
          <w:bCs/>
          <w:spacing w:val="-10"/>
          <w:sz w:val="28"/>
          <w:szCs w:val="28"/>
        </w:rPr>
        <w:t>第七条</w:t>
      </w:r>
      <w:r>
        <w:rPr>
          <w:rFonts w:ascii="仿宋" w:hAnsi="仿宋" w:eastAsia="仿宋" w:cs="仿宋"/>
          <w:spacing w:val="-10"/>
          <w:sz w:val="28"/>
          <w:szCs w:val="28"/>
        </w:rPr>
        <w:t xml:space="preserve"> 乘坐火车，从晚 8</w:t>
      </w:r>
      <w:r>
        <w:rPr>
          <w:rFonts w:ascii="仿宋" w:hAnsi="仿宋" w:eastAsia="仿宋" w:cs="仿宋"/>
          <w:spacing w:val="77"/>
          <w:sz w:val="28"/>
          <w:szCs w:val="28"/>
        </w:rPr>
        <w:t xml:space="preserve"> </w:t>
      </w:r>
      <w:r>
        <w:rPr>
          <w:rFonts w:ascii="仿宋" w:hAnsi="仿宋" w:eastAsia="仿宋" w:cs="仿宋"/>
          <w:spacing w:val="-10"/>
          <w:sz w:val="28"/>
          <w:szCs w:val="28"/>
        </w:rPr>
        <w:t xml:space="preserve">时至次日晨 </w:t>
      </w:r>
      <w:r>
        <w:rPr>
          <w:rFonts w:ascii="仿宋" w:hAnsi="仿宋" w:eastAsia="仿宋" w:cs="仿宋"/>
          <w:spacing w:val="-11"/>
          <w:sz w:val="28"/>
          <w:szCs w:val="28"/>
        </w:rPr>
        <w:t>7</w:t>
      </w:r>
      <w:r>
        <w:rPr>
          <w:rFonts w:ascii="仿宋" w:hAnsi="仿宋" w:eastAsia="仿宋" w:cs="仿宋"/>
          <w:spacing w:val="70"/>
          <w:sz w:val="28"/>
          <w:szCs w:val="28"/>
        </w:rPr>
        <w:t xml:space="preserve"> </w:t>
      </w:r>
      <w:r>
        <w:rPr>
          <w:rFonts w:ascii="仿宋" w:hAnsi="仿宋" w:eastAsia="仿宋" w:cs="仿宋"/>
          <w:spacing w:val="-11"/>
          <w:sz w:val="28"/>
          <w:szCs w:val="28"/>
        </w:rPr>
        <w:t>时乘车 6</w:t>
      </w:r>
      <w:r>
        <w:rPr>
          <w:rFonts w:ascii="仿宋" w:hAnsi="仿宋" w:eastAsia="仿宋" w:cs="仿宋"/>
          <w:spacing w:val="31"/>
          <w:sz w:val="28"/>
          <w:szCs w:val="28"/>
        </w:rPr>
        <w:t xml:space="preserve"> </w:t>
      </w:r>
      <w:r>
        <w:rPr>
          <w:rFonts w:ascii="仿宋" w:hAnsi="仿宋" w:eastAsia="仿宋" w:cs="仿宋"/>
          <w:spacing w:val="-11"/>
          <w:sz w:val="28"/>
          <w:szCs w:val="28"/>
        </w:rPr>
        <w:t>小时以上的，</w:t>
      </w:r>
      <w:r>
        <w:rPr>
          <w:rFonts w:ascii="仿宋" w:hAnsi="仿宋" w:eastAsia="仿宋" w:cs="仿宋"/>
          <w:sz w:val="28"/>
          <w:szCs w:val="28"/>
        </w:rPr>
        <w:t xml:space="preserve"> </w:t>
      </w:r>
      <w:r>
        <w:rPr>
          <w:rFonts w:ascii="仿宋" w:hAnsi="仿宋" w:eastAsia="仿宋" w:cs="仿宋"/>
          <w:spacing w:val="-5"/>
          <w:sz w:val="28"/>
          <w:szCs w:val="28"/>
        </w:rPr>
        <w:t>或连续乘车超过 12 小时的（含</w:t>
      </w:r>
      <w:r>
        <w:rPr>
          <w:rFonts w:ascii="仿宋" w:hAnsi="仿宋" w:eastAsia="仿宋" w:cs="仿宋"/>
          <w:spacing w:val="56"/>
          <w:sz w:val="28"/>
          <w:szCs w:val="28"/>
        </w:rPr>
        <w:t xml:space="preserve"> </w:t>
      </w:r>
      <w:r>
        <w:rPr>
          <w:rFonts w:ascii="仿宋" w:hAnsi="仿宋" w:eastAsia="仿宋" w:cs="仿宋"/>
          <w:spacing w:val="-5"/>
          <w:sz w:val="28"/>
          <w:szCs w:val="28"/>
        </w:rPr>
        <w:t>12</w:t>
      </w:r>
      <w:r>
        <w:rPr>
          <w:rFonts w:ascii="仿宋" w:hAnsi="仿宋" w:eastAsia="仿宋" w:cs="仿宋"/>
          <w:spacing w:val="33"/>
          <w:sz w:val="28"/>
          <w:szCs w:val="28"/>
        </w:rPr>
        <w:t xml:space="preserve"> </w:t>
      </w:r>
      <w:r>
        <w:rPr>
          <w:rFonts w:ascii="仿宋" w:hAnsi="仿宋" w:eastAsia="仿宋" w:cs="仿宋"/>
          <w:spacing w:val="-5"/>
          <w:sz w:val="28"/>
          <w:szCs w:val="28"/>
        </w:rPr>
        <w:t>小时</w:t>
      </w:r>
      <w:r>
        <w:rPr>
          <w:rFonts w:ascii="仿宋" w:hAnsi="仿宋" w:eastAsia="仿宋" w:cs="仿宋"/>
          <w:spacing w:val="25"/>
          <w:sz w:val="28"/>
          <w:szCs w:val="28"/>
        </w:rPr>
        <w:t>），</w:t>
      </w:r>
      <w:r>
        <w:rPr>
          <w:rFonts w:ascii="仿宋" w:hAnsi="仿宋" w:eastAsia="仿宋" w:cs="仿宋"/>
          <w:spacing w:val="-5"/>
          <w:sz w:val="28"/>
          <w:szCs w:val="28"/>
        </w:rPr>
        <w:t>可购同席卧铺票。</w:t>
      </w:r>
      <w:r>
        <w:rPr>
          <w:rFonts w:ascii="仿宋" w:hAnsi="仿宋" w:eastAsia="仿宋" w:cs="仿宋"/>
          <w:sz w:val="28"/>
          <w:szCs w:val="28"/>
        </w:rPr>
        <w:t xml:space="preserve">  </w:t>
      </w:r>
      <w:r>
        <w:rPr>
          <w:rFonts w:ascii="仿宋" w:hAnsi="仿宋" w:eastAsia="仿宋" w:cs="仿宋"/>
          <w:b/>
          <w:bCs/>
          <w:sz w:val="28"/>
          <w:szCs w:val="28"/>
        </w:rPr>
        <w:t>第八条</w:t>
      </w:r>
      <w:r>
        <w:rPr>
          <w:rFonts w:ascii="仿宋" w:hAnsi="仿宋" w:eastAsia="仿宋" w:cs="仿宋"/>
          <w:sz w:val="28"/>
          <w:szCs w:val="28"/>
        </w:rPr>
        <w:t xml:space="preserve"> 乘坐飞机的，民航发展基金、燃油附加费可以凭据报销。</w:t>
      </w:r>
      <w:r>
        <w:rPr>
          <w:rFonts w:ascii="仿宋" w:hAnsi="仿宋" w:eastAsia="仿宋" w:cs="仿宋"/>
          <w:spacing w:val="12"/>
          <w:sz w:val="28"/>
          <w:szCs w:val="28"/>
        </w:rPr>
        <w:t xml:space="preserve"> </w:t>
      </w:r>
      <w:r>
        <w:rPr>
          <w:rFonts w:ascii="仿宋" w:hAnsi="仿宋" w:eastAsia="仿宋" w:cs="仿宋"/>
          <w:b/>
          <w:bCs/>
          <w:spacing w:val="-2"/>
          <w:sz w:val="28"/>
          <w:szCs w:val="28"/>
        </w:rPr>
        <w:t>第九条</w:t>
      </w:r>
      <w:r>
        <w:rPr>
          <w:rFonts w:ascii="仿宋" w:hAnsi="仿宋" w:eastAsia="仿宋" w:cs="仿宋"/>
          <w:spacing w:val="-2"/>
          <w:sz w:val="28"/>
          <w:szCs w:val="28"/>
        </w:rPr>
        <w:t xml:space="preserve"> 乘坐飞机、火车等交通工具的，每人次可以购买交通意</w:t>
      </w:r>
      <w:r>
        <w:rPr>
          <w:rFonts w:ascii="仿宋" w:hAnsi="仿宋" w:eastAsia="仿宋" w:cs="仿宋"/>
          <w:sz w:val="28"/>
          <w:szCs w:val="28"/>
        </w:rPr>
        <w:t xml:space="preserve">   </w:t>
      </w:r>
      <w:r>
        <w:rPr>
          <w:rFonts w:ascii="仿宋" w:hAnsi="仿宋" w:eastAsia="仿宋" w:cs="仿宋"/>
          <w:spacing w:val="-4"/>
          <w:sz w:val="28"/>
          <w:szCs w:val="28"/>
        </w:rPr>
        <w:t>外保险一份。所在单位统一购买交通意外保险的，不再重</w:t>
      </w:r>
      <w:r>
        <w:rPr>
          <w:rFonts w:ascii="仿宋" w:hAnsi="仿宋" w:eastAsia="仿宋" w:cs="仿宋"/>
          <w:spacing w:val="-5"/>
          <w:sz w:val="28"/>
          <w:szCs w:val="28"/>
        </w:rPr>
        <w:t>复购买。</w:t>
      </w:r>
    </w:p>
    <w:p w14:paraId="5DC71297">
      <w:pPr>
        <w:spacing w:line="288" w:lineRule="auto"/>
        <w:rPr>
          <w:rFonts w:ascii="Arial"/>
          <w:sz w:val="21"/>
        </w:rPr>
      </w:pPr>
    </w:p>
    <w:p w14:paraId="42933F60">
      <w:pPr>
        <w:spacing w:before="91" w:line="222" w:lineRule="auto"/>
        <w:ind w:left="3277"/>
        <w:rPr>
          <w:rFonts w:ascii="黑体" w:hAnsi="黑体" w:eastAsia="黑体" w:cs="黑体"/>
          <w:sz w:val="28"/>
          <w:szCs w:val="28"/>
        </w:rPr>
      </w:pPr>
      <w:r>
        <w:rPr>
          <w:rFonts w:ascii="黑体" w:hAnsi="黑体" w:eastAsia="黑体" w:cs="黑体"/>
          <w:spacing w:val="-3"/>
          <w:sz w:val="28"/>
          <w:szCs w:val="28"/>
        </w:rPr>
        <w:t>第三章 住宿费</w:t>
      </w:r>
    </w:p>
    <w:p w14:paraId="3EDEAF59">
      <w:pPr>
        <w:spacing w:before="307" w:line="379" w:lineRule="auto"/>
        <w:ind w:left="63" w:right="624" w:firstLine="10"/>
        <w:rPr>
          <w:rFonts w:ascii="仿宋" w:hAnsi="仿宋" w:eastAsia="仿宋" w:cs="仿宋"/>
          <w:sz w:val="28"/>
          <w:szCs w:val="28"/>
        </w:rPr>
      </w:pPr>
      <w:r>
        <w:rPr>
          <w:rFonts w:ascii="仿宋" w:hAnsi="仿宋" w:eastAsia="仿宋" w:cs="仿宋"/>
          <w:b/>
          <w:bCs/>
          <w:spacing w:val="-3"/>
          <w:sz w:val="28"/>
          <w:szCs w:val="28"/>
        </w:rPr>
        <w:t>第十条</w:t>
      </w:r>
      <w:r>
        <w:rPr>
          <w:rFonts w:ascii="仿宋" w:hAnsi="仿宋" w:eastAsia="仿宋" w:cs="仿宋"/>
          <w:spacing w:val="-3"/>
          <w:sz w:val="28"/>
          <w:szCs w:val="28"/>
        </w:rPr>
        <w:t xml:space="preserve"> 住宿费是指工作人员在省内出差期间入住宾馆（包括饭</w:t>
      </w:r>
      <w:r>
        <w:rPr>
          <w:rFonts w:ascii="仿宋" w:hAnsi="仿宋" w:eastAsia="仿宋" w:cs="仿宋"/>
          <w:spacing w:val="14"/>
          <w:sz w:val="28"/>
          <w:szCs w:val="28"/>
        </w:rPr>
        <w:t xml:space="preserve"> </w:t>
      </w:r>
      <w:r>
        <w:rPr>
          <w:rFonts w:ascii="仿宋" w:hAnsi="仿宋" w:eastAsia="仿宋" w:cs="仿宋"/>
          <w:spacing w:val="-4"/>
          <w:sz w:val="28"/>
          <w:szCs w:val="28"/>
        </w:rPr>
        <w:t>店、招待所）发生的房租费用。</w:t>
      </w:r>
    </w:p>
    <w:p w14:paraId="73B99BC9">
      <w:pPr>
        <w:spacing w:before="96" w:line="378" w:lineRule="auto"/>
        <w:ind w:left="50" w:right="624" w:firstLine="22"/>
        <w:rPr>
          <w:rFonts w:ascii="仿宋" w:hAnsi="仿宋" w:eastAsia="仿宋" w:cs="仿宋"/>
          <w:sz w:val="28"/>
          <w:szCs w:val="28"/>
        </w:rPr>
      </w:pPr>
      <w:r>
        <w:rPr>
          <w:rFonts w:ascii="仿宋" w:hAnsi="仿宋" w:eastAsia="仿宋" w:cs="仿宋"/>
          <w:b/>
          <w:bCs/>
          <w:spacing w:val="-3"/>
          <w:sz w:val="28"/>
          <w:szCs w:val="28"/>
        </w:rPr>
        <w:t>第十一条</w:t>
      </w:r>
      <w:r>
        <w:rPr>
          <w:rFonts w:ascii="仿宋" w:hAnsi="仿宋" w:eastAsia="仿宋" w:cs="仿宋"/>
          <w:spacing w:val="-3"/>
          <w:sz w:val="28"/>
          <w:szCs w:val="28"/>
        </w:rPr>
        <w:t xml:space="preserve"> 住宿费按照省委和省内各市（州）不同的标准，作为</w:t>
      </w:r>
      <w:r>
        <w:rPr>
          <w:rFonts w:ascii="仿宋" w:hAnsi="仿宋" w:eastAsia="仿宋" w:cs="仿宋"/>
          <w:spacing w:val="11"/>
          <w:sz w:val="28"/>
          <w:szCs w:val="28"/>
        </w:rPr>
        <w:t xml:space="preserve"> </w:t>
      </w:r>
      <w:r>
        <w:rPr>
          <w:rFonts w:ascii="仿宋" w:hAnsi="仿宋" w:eastAsia="仿宋" w:cs="仿宋"/>
          <w:spacing w:val="-2"/>
          <w:sz w:val="28"/>
          <w:szCs w:val="28"/>
        </w:rPr>
        <w:t>各级单位工作人员到相关地区出差的住宿费限额标准。</w:t>
      </w:r>
    </w:p>
    <w:p w14:paraId="2084AA96">
      <w:pPr>
        <w:spacing w:before="97" w:line="380" w:lineRule="auto"/>
        <w:ind w:left="73" w:right="3220"/>
        <w:rPr>
          <w:rFonts w:ascii="仿宋" w:hAnsi="仿宋" w:eastAsia="仿宋" w:cs="仿宋"/>
          <w:sz w:val="28"/>
          <w:szCs w:val="28"/>
        </w:rPr>
      </w:pPr>
      <w:r>
        <w:rPr>
          <w:rFonts w:ascii="仿宋" w:hAnsi="仿宋" w:eastAsia="仿宋" w:cs="仿宋"/>
          <w:b/>
          <w:bCs/>
          <w:spacing w:val="-8"/>
          <w:sz w:val="28"/>
          <w:szCs w:val="28"/>
        </w:rPr>
        <w:t>第十二条</w:t>
      </w:r>
      <w:r>
        <w:rPr>
          <w:rFonts w:ascii="仿宋" w:hAnsi="仿宋" w:eastAsia="仿宋" w:cs="仿宋"/>
          <w:spacing w:val="-8"/>
          <w:sz w:val="28"/>
          <w:szCs w:val="28"/>
        </w:rPr>
        <w:t xml:space="preserve"> 省外出差住宿标准（附件一）。</w:t>
      </w:r>
      <w:r>
        <w:rPr>
          <w:rFonts w:ascii="仿宋" w:hAnsi="仿宋" w:eastAsia="仿宋" w:cs="仿宋"/>
          <w:spacing w:val="2"/>
          <w:sz w:val="28"/>
          <w:szCs w:val="28"/>
        </w:rPr>
        <w:t xml:space="preserve"> </w:t>
      </w:r>
      <w:r>
        <w:rPr>
          <w:rFonts w:ascii="仿宋" w:hAnsi="仿宋" w:eastAsia="仿宋" w:cs="仿宋"/>
          <w:b/>
          <w:bCs/>
          <w:spacing w:val="-8"/>
          <w:sz w:val="28"/>
          <w:szCs w:val="28"/>
        </w:rPr>
        <w:t>第十三条</w:t>
      </w:r>
      <w:r>
        <w:rPr>
          <w:rFonts w:ascii="仿宋" w:hAnsi="仿宋" w:eastAsia="仿宋" w:cs="仿宋"/>
          <w:spacing w:val="-8"/>
          <w:sz w:val="28"/>
          <w:szCs w:val="28"/>
        </w:rPr>
        <w:t xml:space="preserve"> 省内出差住宿标准（附件二）。</w:t>
      </w:r>
    </w:p>
    <w:p w14:paraId="34A95830">
      <w:pPr>
        <w:spacing w:before="68" w:line="221" w:lineRule="auto"/>
        <w:ind w:left="73"/>
        <w:rPr>
          <w:rFonts w:ascii="仿宋" w:hAnsi="仿宋" w:eastAsia="仿宋" w:cs="仿宋"/>
          <w:sz w:val="28"/>
          <w:szCs w:val="28"/>
        </w:rPr>
      </w:pPr>
      <w:r>
        <w:rPr>
          <w:rFonts w:ascii="仿宋" w:hAnsi="仿宋" w:eastAsia="仿宋" w:cs="仿宋"/>
          <w:b/>
          <w:bCs/>
          <w:spacing w:val="-2"/>
          <w:sz w:val="28"/>
          <w:szCs w:val="28"/>
        </w:rPr>
        <w:t>第十四条</w:t>
      </w:r>
      <w:r>
        <w:rPr>
          <w:rFonts w:ascii="仿宋" w:hAnsi="仿宋" w:eastAsia="仿宋" w:cs="仿宋"/>
          <w:spacing w:val="-2"/>
          <w:sz w:val="28"/>
          <w:szCs w:val="28"/>
        </w:rPr>
        <w:t xml:space="preserve"> 对于住宿价格季节性变化明显的地区（西宁市区，海</w:t>
      </w:r>
    </w:p>
    <w:p w14:paraId="01E200AE">
      <w:pPr>
        <w:spacing w:before="313" w:line="389" w:lineRule="auto"/>
        <w:ind w:left="48" w:right="9" w:firstLine="14"/>
        <w:jc w:val="both"/>
        <w:rPr>
          <w:rFonts w:ascii="仿宋" w:hAnsi="仿宋" w:eastAsia="仿宋" w:cs="仿宋"/>
          <w:sz w:val="28"/>
          <w:szCs w:val="28"/>
        </w:rPr>
      </w:pPr>
      <w:r>
        <w:rPr>
          <w:rFonts w:ascii="仿宋" w:hAnsi="仿宋" w:eastAsia="仿宋" w:cs="仿宋"/>
          <w:spacing w:val="-5"/>
          <w:sz w:val="28"/>
          <w:szCs w:val="28"/>
        </w:rPr>
        <w:t>东市循化县、化隆县，海南州贵德县，海西州格尔木市，海北州门源</w:t>
      </w:r>
      <w:r>
        <w:rPr>
          <w:rFonts w:ascii="仿宋" w:hAnsi="仿宋" w:eastAsia="仿宋" w:cs="仿宋"/>
          <w:spacing w:val="13"/>
          <w:sz w:val="28"/>
          <w:szCs w:val="28"/>
        </w:rPr>
        <w:t xml:space="preserve"> </w:t>
      </w:r>
      <w:r>
        <w:rPr>
          <w:rFonts w:ascii="仿宋" w:hAnsi="仿宋" w:eastAsia="仿宋" w:cs="仿宋"/>
          <w:spacing w:val="-5"/>
          <w:sz w:val="28"/>
          <w:szCs w:val="28"/>
        </w:rPr>
        <w:t>县、祁连县，黄南州同仁县、尖扎县，玉树州玉树市</w:t>
      </w:r>
      <w:r>
        <w:rPr>
          <w:rFonts w:ascii="仿宋" w:hAnsi="仿宋" w:eastAsia="仿宋" w:cs="仿宋"/>
          <w:spacing w:val="7"/>
          <w:sz w:val="28"/>
          <w:szCs w:val="28"/>
        </w:rPr>
        <w:t>），</w:t>
      </w:r>
      <w:r>
        <w:rPr>
          <w:rFonts w:ascii="仿宋" w:hAnsi="仿宋" w:eastAsia="仿宋" w:cs="仿宋"/>
          <w:spacing w:val="-5"/>
          <w:sz w:val="28"/>
          <w:szCs w:val="28"/>
        </w:rPr>
        <w:t>住宿费限额</w:t>
      </w:r>
      <w:r>
        <w:rPr>
          <w:rFonts w:ascii="仿宋" w:hAnsi="仿宋" w:eastAsia="仿宋" w:cs="仿宋"/>
          <w:spacing w:val="1"/>
          <w:sz w:val="28"/>
          <w:szCs w:val="28"/>
        </w:rPr>
        <w:t xml:space="preserve"> </w:t>
      </w:r>
      <w:r>
        <w:rPr>
          <w:rFonts w:ascii="仿宋" w:hAnsi="仿宋" w:eastAsia="仿宋" w:cs="仿宋"/>
          <w:spacing w:val="-4"/>
          <w:sz w:val="28"/>
          <w:szCs w:val="28"/>
        </w:rPr>
        <w:t>标准在旺季（每年 5 月</w:t>
      </w:r>
      <w:r>
        <w:rPr>
          <w:rFonts w:ascii="Times New Roman" w:hAnsi="Times New Roman" w:eastAsia="Times New Roman" w:cs="Times New Roman"/>
          <w:spacing w:val="-4"/>
          <w:sz w:val="28"/>
          <w:szCs w:val="28"/>
        </w:rPr>
        <w:t>—</w:t>
      </w:r>
      <w:r>
        <w:rPr>
          <w:rFonts w:ascii="仿宋" w:hAnsi="仿宋" w:eastAsia="仿宋" w:cs="仿宋"/>
          <w:spacing w:val="-4"/>
          <w:sz w:val="28"/>
          <w:szCs w:val="28"/>
        </w:rPr>
        <w:t>9</w:t>
      </w:r>
      <w:r>
        <w:rPr>
          <w:rFonts w:ascii="仿宋" w:hAnsi="仿宋" w:eastAsia="仿宋" w:cs="仿宋"/>
          <w:spacing w:val="89"/>
          <w:sz w:val="28"/>
          <w:szCs w:val="28"/>
        </w:rPr>
        <w:t xml:space="preserve"> </w:t>
      </w:r>
      <w:r>
        <w:rPr>
          <w:rFonts w:ascii="仿宋" w:hAnsi="仿宋" w:eastAsia="仿宋" w:cs="仿宋"/>
          <w:spacing w:val="-4"/>
          <w:sz w:val="28"/>
          <w:szCs w:val="28"/>
        </w:rPr>
        <w:t>月）可按照上浮 50%的比例执行。</w:t>
      </w:r>
    </w:p>
    <w:p w14:paraId="6506B41F">
      <w:pPr>
        <w:spacing w:before="73" w:line="221" w:lineRule="auto"/>
        <w:ind w:left="34"/>
        <w:rPr>
          <w:rFonts w:ascii="仿宋" w:hAnsi="仿宋" w:eastAsia="仿宋" w:cs="仿宋"/>
          <w:sz w:val="28"/>
          <w:szCs w:val="28"/>
        </w:rPr>
      </w:pPr>
      <w:r>
        <w:rPr>
          <w:rFonts w:ascii="仿宋" w:hAnsi="仿宋" w:eastAsia="仿宋" w:cs="仿宋"/>
          <w:spacing w:val="-4"/>
          <w:sz w:val="22"/>
          <w:szCs w:val="22"/>
        </w:rPr>
        <w:t xml:space="preserve">2 </w:t>
      </w:r>
      <w:r>
        <w:rPr>
          <w:rFonts w:ascii="仿宋" w:hAnsi="仿宋" w:eastAsia="仿宋" w:cs="仿宋"/>
          <w:b/>
          <w:bCs/>
          <w:spacing w:val="-4"/>
          <w:sz w:val="28"/>
          <w:szCs w:val="28"/>
        </w:rPr>
        <w:t>第十五条</w:t>
      </w:r>
      <w:r>
        <w:rPr>
          <w:rFonts w:ascii="仿宋" w:hAnsi="仿宋" w:eastAsia="仿宋" w:cs="仿宋"/>
          <w:spacing w:val="-4"/>
          <w:sz w:val="28"/>
          <w:szCs w:val="28"/>
        </w:rPr>
        <w:t xml:space="preserve"> 基金会工作人员住单间或标准间。</w:t>
      </w:r>
    </w:p>
    <w:p w14:paraId="7406C251">
      <w:pPr>
        <w:spacing w:before="313" w:line="378" w:lineRule="auto"/>
        <w:ind w:left="57" w:right="738" w:firstLine="15"/>
        <w:rPr>
          <w:rFonts w:ascii="仿宋" w:hAnsi="仿宋" w:eastAsia="仿宋" w:cs="仿宋"/>
          <w:sz w:val="28"/>
          <w:szCs w:val="28"/>
        </w:rPr>
      </w:pPr>
      <w:r>
        <w:rPr>
          <w:rFonts w:ascii="仿宋" w:hAnsi="仿宋" w:eastAsia="仿宋" w:cs="仿宋"/>
          <w:b/>
          <w:bCs/>
          <w:spacing w:val="-11"/>
          <w:sz w:val="28"/>
          <w:szCs w:val="28"/>
        </w:rPr>
        <w:t>第十六条</w:t>
      </w:r>
      <w:r>
        <w:rPr>
          <w:rFonts w:ascii="仿宋" w:hAnsi="仿宋" w:eastAsia="仿宋" w:cs="仿宋"/>
          <w:spacing w:val="110"/>
          <w:sz w:val="28"/>
          <w:szCs w:val="28"/>
        </w:rPr>
        <w:t xml:space="preserve"> </w:t>
      </w:r>
      <w:r>
        <w:rPr>
          <w:rFonts w:ascii="仿宋" w:hAnsi="仿宋" w:eastAsia="仿宋" w:cs="仿宋"/>
          <w:spacing w:val="-11"/>
          <w:sz w:val="28"/>
          <w:szCs w:val="28"/>
        </w:rPr>
        <w:t>出差人员应当在职务级别对应的住宿费标准限额内，</w:t>
      </w:r>
      <w:r>
        <w:rPr>
          <w:rFonts w:ascii="仿宋" w:hAnsi="仿宋" w:eastAsia="仿宋" w:cs="仿宋"/>
          <w:sz w:val="28"/>
          <w:szCs w:val="28"/>
        </w:rPr>
        <w:t xml:space="preserve"> </w:t>
      </w:r>
      <w:r>
        <w:rPr>
          <w:rFonts w:ascii="仿宋" w:hAnsi="仿宋" w:eastAsia="仿宋" w:cs="仿宋"/>
          <w:spacing w:val="-4"/>
          <w:sz w:val="28"/>
          <w:szCs w:val="28"/>
        </w:rPr>
        <w:t>选择安全、经济、便捷的宾馆住宿。</w:t>
      </w:r>
    </w:p>
    <w:p w14:paraId="0E898823">
      <w:pPr>
        <w:spacing w:before="75" w:line="222" w:lineRule="auto"/>
        <w:ind w:left="2998"/>
        <w:rPr>
          <w:rFonts w:ascii="黑体" w:hAnsi="黑体" w:eastAsia="黑体" w:cs="黑体"/>
          <w:sz w:val="28"/>
          <w:szCs w:val="28"/>
        </w:rPr>
      </w:pPr>
      <w:r>
        <w:rPr>
          <w:rFonts w:ascii="黑体" w:hAnsi="黑体" w:eastAsia="黑体" w:cs="黑体"/>
          <w:spacing w:val="-3"/>
          <w:sz w:val="28"/>
          <w:szCs w:val="28"/>
        </w:rPr>
        <w:t>第四章 伙食补助费</w:t>
      </w:r>
    </w:p>
    <w:p w14:paraId="4BB27B41">
      <w:pPr>
        <w:spacing w:line="222" w:lineRule="auto"/>
        <w:rPr>
          <w:rFonts w:ascii="黑体" w:hAnsi="黑体" w:eastAsia="黑体" w:cs="黑体"/>
          <w:sz w:val="28"/>
          <w:szCs w:val="28"/>
        </w:rPr>
        <w:sectPr>
          <w:pgSz w:w="11906" w:h="16840"/>
          <w:pgMar w:top="400" w:right="1782" w:bottom="400" w:left="1785" w:header="0" w:footer="850" w:gutter="0"/>
          <w:pgNumType w:fmt="decimal"/>
          <w:cols w:space="720" w:num="1"/>
        </w:sectPr>
      </w:pPr>
    </w:p>
    <w:p w14:paraId="11B917E6">
      <w:pPr>
        <w:spacing w:line="289" w:lineRule="auto"/>
        <w:rPr>
          <w:rFonts w:ascii="Arial"/>
          <w:sz w:val="21"/>
        </w:rPr>
      </w:pPr>
    </w:p>
    <w:p w14:paraId="13318D34">
      <w:pPr>
        <w:spacing w:line="289" w:lineRule="auto"/>
        <w:rPr>
          <w:rFonts w:ascii="Arial"/>
          <w:sz w:val="21"/>
        </w:rPr>
      </w:pPr>
    </w:p>
    <w:p w14:paraId="2DD2936A">
      <w:pPr>
        <w:spacing w:line="289" w:lineRule="auto"/>
        <w:rPr>
          <w:rFonts w:ascii="Arial"/>
          <w:sz w:val="21"/>
        </w:rPr>
      </w:pPr>
    </w:p>
    <w:p w14:paraId="49C6642A">
      <w:pPr>
        <w:spacing w:line="289" w:lineRule="auto"/>
        <w:rPr>
          <w:rFonts w:ascii="Arial"/>
          <w:sz w:val="21"/>
        </w:rPr>
      </w:pPr>
    </w:p>
    <w:p w14:paraId="35D52FBD">
      <w:pPr>
        <w:spacing w:before="91" w:line="380" w:lineRule="auto"/>
        <w:ind w:left="49" w:right="620" w:firstLine="24"/>
        <w:rPr>
          <w:rFonts w:ascii="仿宋" w:hAnsi="仿宋" w:eastAsia="仿宋" w:cs="仿宋"/>
          <w:sz w:val="28"/>
          <w:szCs w:val="28"/>
        </w:rPr>
      </w:pPr>
      <w:r>
        <w:rPr>
          <w:rFonts w:ascii="仿宋" w:hAnsi="仿宋" w:eastAsia="仿宋" w:cs="仿宋"/>
          <w:b/>
          <w:bCs/>
          <w:spacing w:val="-3"/>
          <w:sz w:val="28"/>
          <w:szCs w:val="28"/>
        </w:rPr>
        <w:t>第十七条</w:t>
      </w:r>
      <w:r>
        <w:rPr>
          <w:rFonts w:ascii="仿宋" w:hAnsi="仿宋" w:eastAsia="仿宋" w:cs="仿宋"/>
          <w:spacing w:val="-3"/>
          <w:sz w:val="28"/>
          <w:szCs w:val="28"/>
        </w:rPr>
        <w:t xml:space="preserve"> 伙食补助费是指对工作人员在省内出差期间给予的伙</w:t>
      </w:r>
      <w:r>
        <w:rPr>
          <w:rFonts w:ascii="仿宋" w:hAnsi="仿宋" w:eastAsia="仿宋" w:cs="仿宋"/>
          <w:spacing w:val="11"/>
          <w:sz w:val="28"/>
          <w:szCs w:val="28"/>
        </w:rPr>
        <w:t xml:space="preserve"> </w:t>
      </w:r>
      <w:r>
        <w:rPr>
          <w:rFonts w:ascii="仿宋" w:hAnsi="仿宋" w:eastAsia="仿宋" w:cs="仿宋"/>
          <w:spacing w:val="-3"/>
          <w:sz w:val="28"/>
          <w:szCs w:val="28"/>
        </w:rPr>
        <w:t>食补助费用，本着节约原则实报实销。</w:t>
      </w:r>
    </w:p>
    <w:p w14:paraId="28085D12">
      <w:pPr>
        <w:spacing w:before="90" w:line="380" w:lineRule="auto"/>
        <w:ind w:left="48" w:right="620" w:firstLine="24"/>
        <w:rPr>
          <w:rFonts w:ascii="仿宋" w:hAnsi="仿宋" w:eastAsia="仿宋" w:cs="仿宋"/>
          <w:sz w:val="28"/>
          <w:szCs w:val="28"/>
        </w:rPr>
      </w:pPr>
      <w:r>
        <w:rPr>
          <w:rFonts w:ascii="仿宋" w:hAnsi="仿宋" w:eastAsia="仿宋" w:cs="仿宋"/>
          <w:b/>
          <w:bCs/>
          <w:spacing w:val="-3"/>
          <w:sz w:val="28"/>
          <w:szCs w:val="28"/>
        </w:rPr>
        <w:t>第十八条</w:t>
      </w:r>
      <w:r>
        <w:rPr>
          <w:rFonts w:ascii="仿宋" w:hAnsi="仿宋" w:eastAsia="仿宋" w:cs="仿宋"/>
          <w:spacing w:val="-3"/>
          <w:sz w:val="28"/>
          <w:szCs w:val="28"/>
        </w:rPr>
        <w:t xml:space="preserve"> 省内出差在农牧民家就餐的，按照当地的伙食补助费</w:t>
      </w:r>
      <w:r>
        <w:rPr>
          <w:rFonts w:ascii="仿宋" w:hAnsi="仿宋" w:eastAsia="仿宋" w:cs="仿宋"/>
          <w:spacing w:val="11"/>
          <w:sz w:val="28"/>
          <w:szCs w:val="28"/>
        </w:rPr>
        <w:t xml:space="preserve"> </w:t>
      </w:r>
      <w:r>
        <w:rPr>
          <w:rFonts w:ascii="仿宋" w:hAnsi="仿宋" w:eastAsia="仿宋" w:cs="仿宋"/>
          <w:spacing w:val="-2"/>
          <w:sz w:val="28"/>
          <w:szCs w:val="28"/>
        </w:rPr>
        <w:t>标准将伙食补助费交纳给农牧民家庭。</w:t>
      </w:r>
    </w:p>
    <w:p w14:paraId="095960C4">
      <w:pPr>
        <w:spacing w:line="299" w:lineRule="auto"/>
        <w:rPr>
          <w:rFonts w:ascii="Arial"/>
          <w:sz w:val="21"/>
        </w:rPr>
      </w:pPr>
    </w:p>
    <w:p w14:paraId="618E8E28">
      <w:pPr>
        <w:spacing w:line="300" w:lineRule="auto"/>
        <w:rPr>
          <w:rFonts w:ascii="Arial"/>
          <w:sz w:val="21"/>
        </w:rPr>
      </w:pPr>
    </w:p>
    <w:p w14:paraId="732DDA91">
      <w:pPr>
        <w:spacing w:before="91" w:line="222" w:lineRule="auto"/>
        <w:ind w:left="2998"/>
        <w:rPr>
          <w:rFonts w:ascii="黑体" w:hAnsi="黑体" w:eastAsia="黑体" w:cs="黑体"/>
          <w:sz w:val="28"/>
          <w:szCs w:val="28"/>
        </w:rPr>
      </w:pPr>
      <w:r>
        <w:rPr>
          <w:rFonts w:ascii="黑体" w:hAnsi="黑体" w:eastAsia="黑体" w:cs="黑体"/>
          <w:spacing w:val="-3"/>
          <w:sz w:val="28"/>
          <w:szCs w:val="28"/>
        </w:rPr>
        <w:t>第五章 市内交通费</w:t>
      </w:r>
    </w:p>
    <w:p w14:paraId="3DC6A1E0">
      <w:pPr>
        <w:spacing w:before="305" w:line="381" w:lineRule="auto"/>
        <w:ind w:left="57" w:right="620" w:firstLine="15"/>
        <w:rPr>
          <w:rFonts w:ascii="仿宋" w:hAnsi="仿宋" w:eastAsia="仿宋" w:cs="仿宋"/>
          <w:sz w:val="28"/>
          <w:szCs w:val="28"/>
        </w:rPr>
      </w:pPr>
      <w:r>
        <w:rPr>
          <w:rFonts w:ascii="仿宋" w:hAnsi="仿宋" w:eastAsia="仿宋" w:cs="仿宋"/>
          <w:b/>
          <w:bCs/>
          <w:spacing w:val="-3"/>
          <w:sz w:val="28"/>
          <w:szCs w:val="28"/>
        </w:rPr>
        <w:t>第十九条</w:t>
      </w:r>
      <w:r>
        <w:rPr>
          <w:rFonts w:ascii="仿宋" w:hAnsi="仿宋" w:eastAsia="仿宋" w:cs="仿宋"/>
          <w:spacing w:val="-3"/>
          <w:sz w:val="28"/>
          <w:szCs w:val="28"/>
        </w:rPr>
        <w:t xml:space="preserve"> 市内交通费是指工作人员因公在省内出差期间，在出</w:t>
      </w:r>
      <w:r>
        <w:rPr>
          <w:rFonts w:ascii="仿宋" w:hAnsi="仿宋" w:eastAsia="仿宋" w:cs="仿宋"/>
          <w:spacing w:val="11"/>
          <w:sz w:val="28"/>
          <w:szCs w:val="28"/>
        </w:rPr>
        <w:t xml:space="preserve"> </w:t>
      </w:r>
      <w:r>
        <w:rPr>
          <w:rFonts w:ascii="仿宋" w:hAnsi="仿宋" w:eastAsia="仿宋" w:cs="仿宋"/>
          <w:spacing w:val="-4"/>
          <w:sz w:val="28"/>
          <w:szCs w:val="28"/>
        </w:rPr>
        <w:t>差目的地市境内发生交通费用。</w:t>
      </w:r>
    </w:p>
    <w:p w14:paraId="121B64CF">
      <w:pPr>
        <w:spacing w:before="69" w:line="222" w:lineRule="auto"/>
        <w:ind w:left="73"/>
        <w:rPr>
          <w:rFonts w:ascii="仿宋" w:hAnsi="仿宋" w:eastAsia="仿宋" w:cs="仿宋"/>
          <w:sz w:val="28"/>
          <w:szCs w:val="28"/>
        </w:rPr>
      </w:pPr>
      <w:r>
        <w:rPr>
          <w:rFonts w:ascii="仿宋" w:hAnsi="仿宋" w:eastAsia="仿宋" w:cs="仿宋"/>
          <w:b/>
          <w:bCs/>
          <w:spacing w:val="-10"/>
          <w:sz w:val="28"/>
          <w:szCs w:val="28"/>
        </w:rPr>
        <w:t>第二十条</w:t>
      </w:r>
      <w:r>
        <w:rPr>
          <w:rFonts w:ascii="仿宋" w:hAnsi="仿宋" w:eastAsia="仿宋" w:cs="仿宋"/>
          <w:spacing w:val="-10"/>
          <w:sz w:val="28"/>
          <w:szCs w:val="28"/>
        </w:rPr>
        <w:t xml:space="preserve"> 市内交通费按出差自然（</w:t>
      </w:r>
      <w:r>
        <w:rPr>
          <w:rFonts w:ascii="仿宋" w:hAnsi="仿宋" w:eastAsia="仿宋" w:cs="仿宋"/>
          <w:spacing w:val="78"/>
          <w:sz w:val="28"/>
          <w:szCs w:val="28"/>
        </w:rPr>
        <w:t xml:space="preserve"> </w:t>
      </w:r>
      <w:r>
        <w:rPr>
          <w:rFonts w:ascii="仿宋" w:hAnsi="仿宋" w:eastAsia="仿宋" w:cs="仿宋"/>
          <w:spacing w:val="-10"/>
          <w:sz w:val="28"/>
          <w:szCs w:val="28"/>
        </w:rPr>
        <w:t>日历）天数计算，每人每天</w:t>
      </w:r>
    </w:p>
    <w:p w14:paraId="632A1892">
      <w:pPr>
        <w:spacing w:before="287" w:line="223" w:lineRule="auto"/>
        <w:ind w:left="34"/>
        <w:rPr>
          <w:rFonts w:ascii="仿宋" w:hAnsi="仿宋" w:eastAsia="仿宋" w:cs="仿宋"/>
          <w:sz w:val="28"/>
          <w:szCs w:val="28"/>
        </w:rPr>
      </w:pPr>
      <w:r>
        <w:rPr>
          <w:rFonts w:ascii="仿宋" w:hAnsi="仿宋" w:eastAsia="仿宋" w:cs="仿宋"/>
          <w:spacing w:val="-7"/>
          <w:sz w:val="28"/>
          <w:szCs w:val="28"/>
        </w:rPr>
        <w:t>80</w:t>
      </w:r>
      <w:r>
        <w:rPr>
          <w:rFonts w:ascii="仿宋" w:hAnsi="仿宋" w:eastAsia="仿宋" w:cs="仿宋"/>
          <w:spacing w:val="43"/>
          <w:sz w:val="28"/>
          <w:szCs w:val="28"/>
        </w:rPr>
        <w:t xml:space="preserve"> </w:t>
      </w:r>
      <w:r>
        <w:rPr>
          <w:rFonts w:ascii="仿宋" w:hAnsi="仿宋" w:eastAsia="仿宋" w:cs="仿宋"/>
          <w:spacing w:val="-7"/>
          <w:sz w:val="28"/>
          <w:szCs w:val="28"/>
        </w:rPr>
        <w:t>元包干使用。</w:t>
      </w:r>
    </w:p>
    <w:p w14:paraId="251232C2">
      <w:pPr>
        <w:spacing w:before="306" w:line="378" w:lineRule="auto"/>
        <w:ind w:left="49" w:right="737" w:firstLine="24"/>
        <w:rPr>
          <w:rFonts w:ascii="仿宋" w:hAnsi="仿宋" w:eastAsia="仿宋" w:cs="仿宋"/>
          <w:sz w:val="28"/>
          <w:szCs w:val="28"/>
        </w:rPr>
      </w:pPr>
      <w:r>
        <w:rPr>
          <w:rFonts w:ascii="仿宋" w:hAnsi="仿宋" w:eastAsia="仿宋" w:cs="仿宋"/>
          <w:b/>
          <w:bCs/>
          <w:spacing w:val="-11"/>
          <w:sz w:val="28"/>
          <w:szCs w:val="28"/>
        </w:rPr>
        <w:t>第二十一条</w:t>
      </w:r>
      <w:r>
        <w:rPr>
          <w:rFonts w:ascii="仿宋" w:hAnsi="仿宋" w:eastAsia="仿宋" w:cs="仿宋"/>
          <w:spacing w:val="106"/>
          <w:sz w:val="28"/>
          <w:szCs w:val="28"/>
        </w:rPr>
        <w:t xml:space="preserve"> </w:t>
      </w:r>
      <w:r>
        <w:rPr>
          <w:rFonts w:ascii="仿宋" w:hAnsi="仿宋" w:eastAsia="仿宋" w:cs="仿宋"/>
          <w:spacing w:val="-11"/>
          <w:sz w:val="28"/>
          <w:szCs w:val="28"/>
        </w:rPr>
        <w:t>出差人员由接待单位或其他单位提供交通工具</w:t>
      </w:r>
      <w:r>
        <w:rPr>
          <w:rFonts w:ascii="仿宋" w:hAnsi="仿宋" w:eastAsia="仿宋" w:cs="仿宋"/>
          <w:spacing w:val="-12"/>
          <w:sz w:val="28"/>
          <w:szCs w:val="28"/>
        </w:rPr>
        <w:t>的，</w:t>
      </w:r>
      <w:r>
        <w:rPr>
          <w:rFonts w:ascii="仿宋" w:hAnsi="仿宋" w:eastAsia="仿宋" w:cs="仿宋"/>
          <w:sz w:val="28"/>
          <w:szCs w:val="28"/>
        </w:rPr>
        <w:t xml:space="preserve"> </w:t>
      </w:r>
      <w:r>
        <w:rPr>
          <w:rFonts w:ascii="仿宋" w:hAnsi="仿宋" w:eastAsia="仿宋" w:cs="仿宋"/>
          <w:spacing w:val="-2"/>
          <w:sz w:val="28"/>
          <w:szCs w:val="28"/>
        </w:rPr>
        <w:t>应向接待单位或其他单位交纳相关费用。</w:t>
      </w:r>
    </w:p>
    <w:p w14:paraId="6E0E3C63">
      <w:pPr>
        <w:spacing w:line="302" w:lineRule="auto"/>
        <w:rPr>
          <w:rFonts w:ascii="Arial"/>
          <w:sz w:val="21"/>
        </w:rPr>
      </w:pPr>
    </w:p>
    <w:p w14:paraId="17AA6140">
      <w:pPr>
        <w:spacing w:line="303" w:lineRule="auto"/>
        <w:rPr>
          <w:rFonts w:ascii="Arial"/>
          <w:sz w:val="21"/>
        </w:rPr>
      </w:pPr>
    </w:p>
    <w:p w14:paraId="7656763E">
      <w:pPr>
        <w:spacing w:before="92" w:line="222" w:lineRule="auto"/>
        <w:ind w:left="3137"/>
        <w:rPr>
          <w:rFonts w:ascii="黑体" w:hAnsi="黑体" w:eastAsia="黑体" w:cs="黑体"/>
          <w:sz w:val="28"/>
          <w:szCs w:val="28"/>
        </w:rPr>
      </w:pPr>
      <w:r>
        <w:rPr>
          <w:rFonts w:ascii="黑体" w:hAnsi="黑体" w:eastAsia="黑体" w:cs="黑体"/>
          <w:spacing w:val="-3"/>
          <w:sz w:val="28"/>
          <w:szCs w:val="28"/>
        </w:rPr>
        <w:t>第六章 报销管理</w:t>
      </w:r>
    </w:p>
    <w:p w14:paraId="321A1D69">
      <w:pPr>
        <w:spacing w:before="310" w:line="378" w:lineRule="auto"/>
        <w:ind w:left="62" w:right="620" w:firstLine="11"/>
        <w:rPr>
          <w:rFonts w:ascii="仿宋" w:hAnsi="仿宋" w:eastAsia="仿宋" w:cs="仿宋"/>
          <w:sz w:val="28"/>
          <w:szCs w:val="28"/>
        </w:rPr>
      </w:pPr>
      <w:r>
        <w:rPr>
          <w:rFonts w:ascii="仿宋" w:hAnsi="仿宋" w:eastAsia="仿宋" w:cs="仿宋"/>
          <w:b/>
          <w:bCs/>
          <w:spacing w:val="-6"/>
          <w:sz w:val="28"/>
          <w:szCs w:val="28"/>
        </w:rPr>
        <w:t>第二十二条</w:t>
      </w:r>
      <w:r>
        <w:rPr>
          <w:rFonts w:ascii="仿宋" w:hAnsi="仿宋" w:eastAsia="仿宋" w:cs="仿宋"/>
          <w:spacing w:val="94"/>
          <w:sz w:val="28"/>
          <w:szCs w:val="28"/>
        </w:rPr>
        <w:t xml:space="preserve"> </w:t>
      </w:r>
      <w:r>
        <w:rPr>
          <w:rFonts w:ascii="仿宋" w:hAnsi="仿宋" w:eastAsia="仿宋" w:cs="仿宋"/>
          <w:spacing w:val="-6"/>
          <w:sz w:val="28"/>
          <w:szCs w:val="28"/>
        </w:rPr>
        <w:t>出差人员应当严格按规定开支差</w:t>
      </w:r>
      <w:r>
        <w:rPr>
          <w:rFonts w:ascii="仿宋" w:hAnsi="仿宋" w:eastAsia="仿宋" w:cs="仿宋"/>
          <w:spacing w:val="-7"/>
          <w:sz w:val="28"/>
          <w:szCs w:val="28"/>
        </w:rPr>
        <w:t>旅费，费用由所在</w:t>
      </w:r>
      <w:r>
        <w:rPr>
          <w:rFonts w:ascii="仿宋" w:hAnsi="仿宋" w:eastAsia="仿宋" w:cs="仿宋"/>
          <w:sz w:val="28"/>
          <w:szCs w:val="28"/>
        </w:rPr>
        <w:t xml:space="preserve"> </w:t>
      </w:r>
      <w:r>
        <w:rPr>
          <w:rFonts w:ascii="仿宋" w:hAnsi="仿宋" w:eastAsia="仿宋" w:cs="仿宋"/>
          <w:spacing w:val="-8"/>
          <w:sz w:val="28"/>
          <w:szCs w:val="28"/>
        </w:rPr>
        <w:t>单位承担。</w:t>
      </w:r>
    </w:p>
    <w:p w14:paraId="6C70903E">
      <w:pPr>
        <w:spacing w:before="94" w:line="389" w:lineRule="auto"/>
        <w:ind w:left="58" w:right="455" w:hanging="20"/>
        <w:rPr>
          <w:rFonts w:ascii="仿宋" w:hAnsi="仿宋" w:eastAsia="仿宋" w:cs="仿宋"/>
          <w:sz w:val="28"/>
          <w:szCs w:val="28"/>
        </w:rPr>
      </w:pPr>
      <w:r>
        <w:rPr>
          <w:rFonts w:ascii="仿宋" w:hAnsi="仿宋" w:eastAsia="仿宋" w:cs="仿宋"/>
          <w:spacing w:val="-6"/>
          <w:sz w:val="22"/>
          <w:szCs w:val="22"/>
        </w:rPr>
        <w:t xml:space="preserve">3 </w:t>
      </w:r>
      <w:r>
        <w:rPr>
          <w:rFonts w:ascii="仿宋" w:hAnsi="仿宋" w:eastAsia="仿宋" w:cs="仿宋"/>
          <w:b/>
          <w:bCs/>
          <w:spacing w:val="-6"/>
          <w:sz w:val="28"/>
          <w:szCs w:val="28"/>
        </w:rPr>
        <w:t>第二十三条</w:t>
      </w:r>
      <w:r>
        <w:rPr>
          <w:rFonts w:ascii="仿宋" w:hAnsi="仿宋" w:eastAsia="仿宋" w:cs="仿宋"/>
          <w:spacing w:val="83"/>
          <w:sz w:val="28"/>
          <w:szCs w:val="28"/>
        </w:rPr>
        <w:t xml:space="preserve"> </w:t>
      </w:r>
      <w:r>
        <w:rPr>
          <w:rFonts w:ascii="仿宋" w:hAnsi="仿宋" w:eastAsia="仿宋" w:cs="仿宋"/>
          <w:spacing w:val="-6"/>
          <w:sz w:val="28"/>
          <w:szCs w:val="28"/>
        </w:rPr>
        <w:t>区域间交通费按乘坐交通工具的等级凭据</w:t>
      </w:r>
      <w:r>
        <w:rPr>
          <w:rFonts w:ascii="仿宋" w:hAnsi="仿宋" w:eastAsia="仿宋" w:cs="仿宋"/>
          <w:spacing w:val="-7"/>
          <w:sz w:val="28"/>
          <w:szCs w:val="28"/>
        </w:rPr>
        <w:t>报销，订</w:t>
      </w:r>
      <w:r>
        <w:rPr>
          <w:rFonts w:ascii="仿宋" w:hAnsi="仿宋" w:eastAsia="仿宋" w:cs="仿宋"/>
          <w:sz w:val="28"/>
          <w:szCs w:val="28"/>
        </w:rPr>
        <w:t xml:space="preserve"> </w:t>
      </w:r>
      <w:r>
        <w:rPr>
          <w:rFonts w:ascii="仿宋" w:hAnsi="仿宋" w:eastAsia="仿宋" w:cs="仿宋"/>
          <w:spacing w:val="-1"/>
          <w:sz w:val="28"/>
          <w:szCs w:val="28"/>
        </w:rPr>
        <w:t>票费、经批准发生的签转或退票费、交通意外保险费凭据报销。</w:t>
      </w:r>
      <w:r>
        <w:rPr>
          <w:rFonts w:ascii="仿宋" w:hAnsi="仿宋" w:eastAsia="仿宋" w:cs="仿宋"/>
          <w:spacing w:val="7"/>
          <w:sz w:val="28"/>
          <w:szCs w:val="28"/>
        </w:rPr>
        <w:t xml:space="preserve"> </w:t>
      </w:r>
      <w:r>
        <w:rPr>
          <w:rFonts w:ascii="仿宋" w:hAnsi="仿宋" w:eastAsia="仿宋" w:cs="仿宋"/>
          <w:b/>
          <w:bCs/>
          <w:spacing w:val="-4"/>
          <w:sz w:val="28"/>
          <w:szCs w:val="28"/>
        </w:rPr>
        <w:t>第二十四条</w:t>
      </w:r>
      <w:r>
        <w:rPr>
          <w:rFonts w:ascii="仿宋" w:hAnsi="仿宋" w:eastAsia="仿宋" w:cs="仿宋"/>
          <w:spacing w:val="-4"/>
          <w:sz w:val="28"/>
          <w:szCs w:val="28"/>
        </w:rPr>
        <w:t xml:space="preserve"> 住宿费在标准限额之内凭发票据实报销。</w:t>
      </w:r>
    </w:p>
    <w:p w14:paraId="7F784CEF">
      <w:pPr>
        <w:spacing w:before="74" w:line="220" w:lineRule="auto"/>
        <w:ind w:left="73"/>
        <w:rPr>
          <w:rFonts w:ascii="仿宋" w:hAnsi="仿宋" w:eastAsia="仿宋" w:cs="仿宋"/>
          <w:sz w:val="28"/>
          <w:szCs w:val="28"/>
        </w:rPr>
      </w:pPr>
      <w:r>
        <w:rPr>
          <w:rFonts w:ascii="仿宋" w:hAnsi="仿宋" w:eastAsia="仿宋" w:cs="仿宋"/>
          <w:b/>
          <w:bCs/>
          <w:spacing w:val="-3"/>
          <w:sz w:val="28"/>
          <w:szCs w:val="28"/>
        </w:rPr>
        <w:t>第二十五条</w:t>
      </w:r>
      <w:r>
        <w:rPr>
          <w:rFonts w:ascii="仿宋" w:hAnsi="仿宋" w:eastAsia="仿宋" w:cs="仿宋"/>
          <w:spacing w:val="-3"/>
          <w:sz w:val="28"/>
          <w:szCs w:val="28"/>
        </w:rPr>
        <w:t xml:space="preserve"> 伙食补助费按出差目的地的标准</w:t>
      </w:r>
      <w:r>
        <w:rPr>
          <w:rFonts w:ascii="仿宋" w:hAnsi="仿宋" w:eastAsia="仿宋" w:cs="仿宋"/>
          <w:spacing w:val="-4"/>
          <w:sz w:val="28"/>
          <w:szCs w:val="28"/>
        </w:rPr>
        <w:t>报销，在途期间的</w:t>
      </w:r>
    </w:p>
    <w:p w14:paraId="117E1576">
      <w:pPr>
        <w:spacing w:before="314" w:line="381" w:lineRule="auto"/>
        <w:ind w:left="73" w:right="2521" w:hanging="24"/>
        <w:rPr>
          <w:rFonts w:ascii="仿宋" w:hAnsi="仿宋" w:eastAsia="仿宋" w:cs="仿宋"/>
          <w:sz w:val="28"/>
          <w:szCs w:val="28"/>
        </w:rPr>
      </w:pPr>
      <w:r>
        <w:rPr>
          <w:rFonts w:ascii="仿宋" w:hAnsi="仿宋" w:eastAsia="仿宋" w:cs="仿宋"/>
          <w:spacing w:val="-6"/>
          <w:sz w:val="28"/>
          <w:szCs w:val="28"/>
        </w:rPr>
        <w:t>伙食补助费按当天最后到达目的地的标准报销。</w:t>
      </w:r>
      <w:r>
        <w:rPr>
          <w:rFonts w:ascii="仿宋" w:hAnsi="仿宋" w:eastAsia="仿宋" w:cs="仿宋"/>
          <w:spacing w:val="8"/>
          <w:sz w:val="28"/>
          <w:szCs w:val="28"/>
        </w:rPr>
        <w:t xml:space="preserve"> </w:t>
      </w:r>
      <w:r>
        <w:rPr>
          <w:rFonts w:ascii="仿宋" w:hAnsi="仿宋" w:eastAsia="仿宋" w:cs="仿宋"/>
          <w:b/>
          <w:bCs/>
          <w:spacing w:val="-5"/>
          <w:sz w:val="28"/>
          <w:szCs w:val="28"/>
        </w:rPr>
        <w:t>第二十六条</w:t>
      </w:r>
      <w:r>
        <w:rPr>
          <w:rFonts w:ascii="仿宋" w:hAnsi="仿宋" w:eastAsia="仿宋" w:cs="仿宋"/>
          <w:spacing w:val="-5"/>
          <w:sz w:val="28"/>
          <w:szCs w:val="28"/>
        </w:rPr>
        <w:t xml:space="preserve"> 市内交通费按规定标准报销。</w:t>
      </w:r>
    </w:p>
    <w:p w14:paraId="3B9A99BD">
      <w:pPr>
        <w:spacing w:before="71" w:line="223" w:lineRule="auto"/>
        <w:ind w:left="73"/>
        <w:rPr>
          <w:rFonts w:ascii="仿宋" w:hAnsi="仿宋" w:eastAsia="仿宋" w:cs="仿宋"/>
          <w:sz w:val="28"/>
          <w:szCs w:val="28"/>
        </w:rPr>
      </w:pPr>
      <w:r>
        <w:rPr>
          <w:rFonts w:ascii="仿宋" w:hAnsi="仿宋" w:eastAsia="仿宋" w:cs="仿宋"/>
          <w:b/>
          <w:bCs/>
          <w:spacing w:val="-4"/>
          <w:sz w:val="28"/>
          <w:szCs w:val="28"/>
        </w:rPr>
        <w:t>第二十七条</w:t>
      </w:r>
      <w:r>
        <w:rPr>
          <w:rFonts w:ascii="仿宋" w:hAnsi="仿宋" w:eastAsia="仿宋" w:cs="仿宋"/>
          <w:spacing w:val="-4"/>
          <w:sz w:val="28"/>
          <w:szCs w:val="28"/>
        </w:rPr>
        <w:t xml:space="preserve"> 未按规定标准开支差旅费的，超支部分由个人自</w:t>
      </w:r>
    </w:p>
    <w:p w14:paraId="05C5CF58">
      <w:pPr>
        <w:spacing w:line="223" w:lineRule="auto"/>
        <w:rPr>
          <w:rFonts w:ascii="仿宋" w:hAnsi="仿宋" w:eastAsia="仿宋" w:cs="仿宋"/>
          <w:sz w:val="28"/>
          <w:szCs w:val="28"/>
        </w:rPr>
        <w:sectPr>
          <w:pgSz w:w="11906" w:h="16840"/>
          <w:pgMar w:top="400" w:right="1785" w:bottom="400" w:left="1785" w:header="0" w:footer="850" w:gutter="0"/>
          <w:pgNumType w:fmt="decimal"/>
          <w:cols w:space="720" w:num="1"/>
        </w:sectPr>
      </w:pPr>
    </w:p>
    <w:p w14:paraId="7F54F1D0">
      <w:pPr>
        <w:spacing w:line="286" w:lineRule="auto"/>
        <w:rPr>
          <w:rFonts w:ascii="Arial"/>
          <w:sz w:val="21"/>
        </w:rPr>
      </w:pPr>
    </w:p>
    <w:p w14:paraId="5228C2BF">
      <w:pPr>
        <w:spacing w:line="286" w:lineRule="auto"/>
        <w:rPr>
          <w:rFonts w:ascii="Arial"/>
          <w:sz w:val="21"/>
        </w:rPr>
      </w:pPr>
    </w:p>
    <w:p w14:paraId="20772930">
      <w:pPr>
        <w:spacing w:line="286" w:lineRule="auto"/>
        <w:rPr>
          <w:rFonts w:ascii="Arial"/>
          <w:sz w:val="21"/>
        </w:rPr>
      </w:pPr>
    </w:p>
    <w:p w14:paraId="47711C19">
      <w:pPr>
        <w:spacing w:line="287" w:lineRule="auto"/>
        <w:rPr>
          <w:rFonts w:ascii="Arial"/>
          <w:sz w:val="21"/>
        </w:rPr>
      </w:pPr>
    </w:p>
    <w:p w14:paraId="2C4F58F2">
      <w:pPr>
        <w:spacing w:before="91" w:line="234" w:lineRule="auto"/>
        <w:ind w:left="54"/>
        <w:rPr>
          <w:rFonts w:ascii="仿宋" w:hAnsi="仿宋" w:eastAsia="仿宋" w:cs="仿宋"/>
          <w:sz w:val="28"/>
          <w:szCs w:val="28"/>
        </w:rPr>
      </w:pPr>
      <w:r>
        <w:rPr>
          <w:rFonts w:ascii="仿宋" w:hAnsi="仿宋" w:eastAsia="仿宋" w:cs="仿宋"/>
          <w:spacing w:val="-10"/>
          <w:sz w:val="28"/>
          <w:szCs w:val="28"/>
        </w:rPr>
        <w:t>理。</w:t>
      </w:r>
    </w:p>
    <w:p w14:paraId="563B076D">
      <w:pPr>
        <w:spacing w:before="254" w:line="221" w:lineRule="auto"/>
        <w:ind w:left="73"/>
        <w:rPr>
          <w:rFonts w:ascii="仿宋" w:hAnsi="仿宋" w:eastAsia="仿宋" w:cs="仿宋"/>
          <w:sz w:val="28"/>
          <w:szCs w:val="28"/>
        </w:rPr>
      </w:pPr>
      <w:r>
        <w:rPr>
          <w:rFonts w:ascii="仿宋" w:hAnsi="仿宋" w:eastAsia="仿宋" w:cs="仿宋"/>
          <w:b/>
          <w:bCs/>
          <w:spacing w:val="-7"/>
          <w:sz w:val="28"/>
          <w:szCs w:val="28"/>
        </w:rPr>
        <w:t>第二十八条</w:t>
      </w:r>
      <w:r>
        <w:rPr>
          <w:rFonts w:ascii="仿宋" w:hAnsi="仿宋" w:eastAsia="仿宋" w:cs="仿宋"/>
          <w:spacing w:val="114"/>
          <w:sz w:val="28"/>
          <w:szCs w:val="28"/>
        </w:rPr>
        <w:t xml:space="preserve"> </w:t>
      </w:r>
      <w:r>
        <w:rPr>
          <w:rFonts w:ascii="仿宋" w:hAnsi="仿宋" w:eastAsia="仿宋" w:cs="仿宋"/>
          <w:spacing w:val="-7"/>
          <w:sz w:val="28"/>
          <w:szCs w:val="28"/>
        </w:rPr>
        <w:t>出差人员差旅活动结束后应当及时办理报销手续。</w:t>
      </w:r>
    </w:p>
    <w:p w14:paraId="3B322AEA">
      <w:pPr>
        <w:spacing w:before="309" w:line="378" w:lineRule="auto"/>
        <w:ind w:left="62" w:hanging="5"/>
        <w:rPr>
          <w:rFonts w:ascii="仿宋" w:hAnsi="仿宋" w:eastAsia="仿宋" w:cs="仿宋"/>
          <w:sz w:val="28"/>
          <w:szCs w:val="28"/>
        </w:rPr>
      </w:pPr>
      <w:r>
        <w:rPr>
          <w:rFonts w:ascii="仿宋" w:hAnsi="仿宋" w:eastAsia="仿宋" w:cs="仿宋"/>
          <w:spacing w:val="-12"/>
          <w:sz w:val="28"/>
          <w:szCs w:val="28"/>
        </w:rPr>
        <w:t>差旅费报销时应当提供《青海湖生态保护基金会出差审批单》、机票、</w:t>
      </w:r>
      <w:r>
        <w:rPr>
          <w:rFonts w:ascii="仿宋" w:hAnsi="仿宋" w:eastAsia="仿宋" w:cs="仿宋"/>
          <w:spacing w:val="4"/>
          <w:sz w:val="28"/>
          <w:szCs w:val="28"/>
        </w:rPr>
        <w:t xml:space="preserve"> </w:t>
      </w:r>
      <w:r>
        <w:rPr>
          <w:rFonts w:ascii="仿宋" w:hAnsi="仿宋" w:eastAsia="仿宋" w:cs="仿宋"/>
          <w:spacing w:val="-4"/>
          <w:sz w:val="28"/>
          <w:szCs w:val="28"/>
        </w:rPr>
        <w:t>车票、住宿费发票等凭证。</w:t>
      </w:r>
    </w:p>
    <w:p w14:paraId="5B93D761">
      <w:pPr>
        <w:spacing w:before="96" w:line="381" w:lineRule="auto"/>
        <w:ind w:left="49" w:right="676" w:firstLine="24"/>
        <w:rPr>
          <w:rFonts w:ascii="仿宋" w:hAnsi="仿宋" w:eastAsia="仿宋" w:cs="仿宋"/>
          <w:sz w:val="28"/>
          <w:szCs w:val="28"/>
        </w:rPr>
      </w:pPr>
      <w:r>
        <w:rPr>
          <w:rFonts w:ascii="仿宋" w:hAnsi="仿宋" w:eastAsia="仿宋" w:cs="仿宋"/>
          <w:b/>
          <w:bCs/>
          <w:spacing w:val="-4"/>
          <w:sz w:val="28"/>
          <w:szCs w:val="28"/>
        </w:rPr>
        <w:t>第二十九条</w:t>
      </w:r>
      <w:r>
        <w:rPr>
          <w:rFonts w:ascii="仿宋" w:hAnsi="仿宋" w:eastAsia="仿宋" w:cs="仿宋"/>
          <w:spacing w:val="-4"/>
          <w:sz w:val="28"/>
          <w:szCs w:val="28"/>
        </w:rPr>
        <w:t xml:space="preserve"> 财务部门应当严格按规定审核差旅费开支，对未经</w:t>
      </w:r>
      <w:r>
        <w:rPr>
          <w:rFonts w:ascii="仿宋" w:hAnsi="仿宋" w:eastAsia="仿宋" w:cs="仿宋"/>
          <w:spacing w:val="16"/>
          <w:sz w:val="28"/>
          <w:szCs w:val="28"/>
        </w:rPr>
        <w:t xml:space="preserve"> </w:t>
      </w:r>
      <w:r>
        <w:rPr>
          <w:rFonts w:ascii="仿宋" w:hAnsi="仿宋" w:eastAsia="仿宋" w:cs="仿宋"/>
          <w:spacing w:val="-2"/>
          <w:sz w:val="28"/>
          <w:szCs w:val="28"/>
        </w:rPr>
        <w:t>批准出差以及超范围、超标准开支的费用不予报销。</w:t>
      </w:r>
    </w:p>
    <w:p w14:paraId="0C4C2188">
      <w:pPr>
        <w:spacing w:before="92" w:line="380" w:lineRule="auto"/>
        <w:ind w:left="57" w:right="657" w:firstLine="15"/>
        <w:rPr>
          <w:rFonts w:ascii="仿宋" w:hAnsi="仿宋" w:eastAsia="仿宋" w:cs="仿宋"/>
          <w:sz w:val="28"/>
          <w:szCs w:val="28"/>
        </w:rPr>
      </w:pPr>
      <w:r>
        <w:rPr>
          <w:rFonts w:ascii="仿宋" w:hAnsi="仿宋" w:eastAsia="仿宋" w:cs="仿宋"/>
          <w:b/>
          <w:bCs/>
          <w:spacing w:val="-3"/>
          <w:sz w:val="28"/>
          <w:szCs w:val="28"/>
        </w:rPr>
        <w:t>第三十条</w:t>
      </w:r>
      <w:r>
        <w:rPr>
          <w:rFonts w:ascii="仿宋" w:hAnsi="仿宋" w:eastAsia="仿宋" w:cs="仿宋"/>
          <w:spacing w:val="-3"/>
          <w:sz w:val="28"/>
          <w:szCs w:val="28"/>
        </w:rPr>
        <w:t xml:space="preserve"> 工作人员省内出差期间无住宿费发票的，一律不予报</w:t>
      </w:r>
      <w:r>
        <w:rPr>
          <w:rFonts w:ascii="仿宋" w:hAnsi="仿宋" w:eastAsia="仿宋" w:cs="仿宋"/>
          <w:spacing w:val="11"/>
          <w:sz w:val="28"/>
          <w:szCs w:val="28"/>
        </w:rPr>
        <w:t xml:space="preserve"> </w:t>
      </w:r>
      <w:r>
        <w:rPr>
          <w:rFonts w:ascii="仿宋" w:hAnsi="仿宋" w:eastAsia="仿宋" w:cs="仿宋"/>
          <w:spacing w:val="-9"/>
          <w:sz w:val="28"/>
          <w:szCs w:val="28"/>
        </w:rPr>
        <w:t>销住宿费</w:t>
      </w:r>
    </w:p>
    <w:p w14:paraId="7FDFF7E1">
      <w:pPr>
        <w:spacing w:line="380" w:lineRule="auto"/>
        <w:rPr>
          <w:rFonts w:ascii="仿宋" w:hAnsi="仿宋" w:eastAsia="仿宋" w:cs="仿宋"/>
          <w:sz w:val="28"/>
          <w:szCs w:val="28"/>
        </w:rPr>
        <w:sectPr>
          <w:pgSz w:w="11906" w:h="16840"/>
          <w:pgMar w:top="400" w:right="1749" w:bottom="400" w:left="1785" w:header="0" w:footer="850" w:gutter="0"/>
          <w:pgNumType w:fmt="decimal"/>
          <w:cols w:space="720" w:num="1"/>
        </w:sectPr>
      </w:pPr>
    </w:p>
    <w:p w14:paraId="71CB3D1A">
      <w:pPr>
        <w:spacing w:line="415" w:lineRule="auto"/>
        <w:rPr>
          <w:rFonts w:ascii="Arial"/>
          <w:sz w:val="21"/>
        </w:rPr>
      </w:pPr>
    </w:p>
    <w:p w14:paraId="59FA78A5">
      <w:pPr>
        <w:pStyle w:val="2"/>
        <w:spacing w:before="71" w:line="219" w:lineRule="auto"/>
        <w:ind w:left="125"/>
        <w:rPr>
          <w:sz w:val="22"/>
          <w:szCs w:val="22"/>
        </w:rPr>
      </w:pPr>
      <w:r>
        <w:rPr>
          <w:spacing w:val="-6"/>
          <w:sz w:val="22"/>
          <w:szCs w:val="22"/>
        </w:rPr>
        <w:t>附件一：省外出差住宿费标准</w:t>
      </w:r>
    </w:p>
    <w:p w14:paraId="6B3028DD">
      <w:pPr>
        <w:pStyle w:val="2"/>
        <w:spacing w:before="269" w:line="219" w:lineRule="auto"/>
        <w:ind w:left="797"/>
        <w:rPr>
          <w:sz w:val="34"/>
          <w:szCs w:val="34"/>
        </w:rPr>
      </w:pPr>
      <w:r>
        <w:rPr>
          <w:b/>
          <w:bCs/>
          <w:color w:val="333333"/>
          <w:spacing w:val="10"/>
          <w:sz w:val="34"/>
          <w:szCs w:val="34"/>
        </w:rPr>
        <w:t>青海湖生态保护基金会工作人员赴地方差旅住宿费标准明细表</w:t>
      </w:r>
    </w:p>
    <w:p w14:paraId="3398AF9F">
      <w:pPr>
        <w:pStyle w:val="2"/>
        <w:spacing w:before="38" w:line="245" w:lineRule="exact"/>
        <w:ind w:left="9770"/>
        <w:rPr>
          <w:sz w:val="18"/>
          <w:szCs w:val="18"/>
        </w:rPr>
      </w:pPr>
      <w:r>
        <w:rPr>
          <w:color w:val="333333"/>
          <w:spacing w:val="-3"/>
          <w:position w:val="1"/>
          <w:sz w:val="18"/>
          <w:szCs w:val="18"/>
        </w:rPr>
        <w:t>单位</w:t>
      </w:r>
      <w:r>
        <w:rPr>
          <w:rFonts w:ascii="Arial" w:hAnsi="Arial" w:eastAsia="Arial" w:cs="Arial"/>
          <w:color w:val="333333"/>
          <w:spacing w:val="-3"/>
          <w:position w:val="1"/>
          <w:sz w:val="18"/>
          <w:szCs w:val="18"/>
        </w:rPr>
        <w:t>:</w:t>
      </w:r>
      <w:r>
        <w:rPr>
          <w:color w:val="333333"/>
          <w:spacing w:val="-3"/>
          <w:position w:val="1"/>
          <w:sz w:val="18"/>
          <w:szCs w:val="18"/>
        </w:rPr>
        <w:t>元</w:t>
      </w:r>
      <w:r>
        <w:rPr>
          <w:rFonts w:ascii="Arial" w:hAnsi="Arial" w:eastAsia="Arial" w:cs="Arial"/>
          <w:color w:val="333333"/>
          <w:spacing w:val="-3"/>
          <w:position w:val="1"/>
          <w:sz w:val="18"/>
          <w:szCs w:val="18"/>
        </w:rPr>
        <w:t>/</w:t>
      </w:r>
      <w:r>
        <w:rPr>
          <w:color w:val="333333"/>
          <w:spacing w:val="-3"/>
          <w:position w:val="1"/>
          <w:sz w:val="18"/>
          <w:szCs w:val="18"/>
        </w:rPr>
        <w:t>人</w:t>
      </w:r>
      <w:r>
        <w:rPr>
          <w:rFonts w:ascii="Arial" w:hAnsi="Arial" w:eastAsia="Arial" w:cs="Arial"/>
          <w:color w:val="333333"/>
          <w:spacing w:val="-3"/>
          <w:position w:val="1"/>
          <w:sz w:val="18"/>
          <w:szCs w:val="18"/>
        </w:rPr>
        <w:t>·</w:t>
      </w:r>
      <w:r>
        <w:rPr>
          <w:color w:val="333333"/>
          <w:spacing w:val="-3"/>
          <w:position w:val="1"/>
          <w:sz w:val="18"/>
          <w:szCs w:val="18"/>
        </w:rPr>
        <w:t>天</w:t>
      </w:r>
    </w:p>
    <w:p w14:paraId="01E68469">
      <w:pPr>
        <w:spacing w:line="100" w:lineRule="exact"/>
      </w:pPr>
    </w:p>
    <w:tbl>
      <w:tblPr>
        <w:tblStyle w:val="6"/>
        <w:tblW w:w="112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620"/>
        <w:gridCol w:w="2564"/>
        <w:gridCol w:w="2564"/>
        <w:gridCol w:w="1021"/>
        <w:gridCol w:w="990"/>
        <w:gridCol w:w="991"/>
        <w:gridCol w:w="990"/>
        <w:gridCol w:w="1012"/>
      </w:tblGrid>
      <w:tr w14:paraId="71F5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513" w:type="dxa"/>
            <w:vMerge w:val="restart"/>
            <w:tcBorders>
              <w:bottom w:val="nil"/>
            </w:tcBorders>
            <w:vAlign w:val="top"/>
          </w:tcPr>
          <w:p w14:paraId="058ACBC8">
            <w:pPr>
              <w:spacing w:line="289" w:lineRule="auto"/>
              <w:rPr>
                <w:rFonts w:ascii="Arial"/>
                <w:sz w:val="21"/>
              </w:rPr>
            </w:pPr>
          </w:p>
          <w:p w14:paraId="3B107AE3">
            <w:pPr>
              <w:spacing w:line="290" w:lineRule="auto"/>
              <w:rPr>
                <w:rFonts w:ascii="Arial"/>
                <w:sz w:val="21"/>
              </w:rPr>
            </w:pPr>
          </w:p>
          <w:p w14:paraId="24B6B173">
            <w:pPr>
              <w:spacing w:before="58" w:line="221" w:lineRule="auto"/>
              <w:ind w:left="96"/>
              <w:rPr>
                <w:rFonts w:ascii="宋体" w:hAnsi="宋体" w:eastAsia="宋体" w:cs="宋体"/>
                <w:sz w:val="18"/>
                <w:szCs w:val="18"/>
              </w:rPr>
            </w:pPr>
            <w:r>
              <w:rPr>
                <w:rFonts w:ascii="宋体" w:hAnsi="宋体" w:eastAsia="宋体" w:cs="宋体"/>
                <w:color w:val="333333"/>
                <w:spacing w:val="-4"/>
                <w:sz w:val="18"/>
                <w:szCs w:val="18"/>
              </w:rPr>
              <w:t>序号</w:t>
            </w:r>
          </w:p>
        </w:tc>
        <w:tc>
          <w:tcPr>
            <w:tcW w:w="3184" w:type="dxa"/>
            <w:gridSpan w:val="2"/>
            <w:vMerge w:val="restart"/>
            <w:tcBorders>
              <w:bottom w:val="nil"/>
            </w:tcBorders>
            <w:vAlign w:val="top"/>
          </w:tcPr>
          <w:p w14:paraId="30670116">
            <w:pPr>
              <w:spacing w:line="477" w:lineRule="auto"/>
              <w:rPr>
                <w:rFonts w:ascii="Arial"/>
                <w:sz w:val="21"/>
              </w:rPr>
            </w:pPr>
          </w:p>
          <w:p w14:paraId="6C2F2E62">
            <w:pPr>
              <w:spacing w:before="58" w:line="231" w:lineRule="auto"/>
              <w:ind w:left="1380" w:right="1348" w:firstLine="46"/>
              <w:rPr>
                <w:rFonts w:ascii="Arial" w:hAnsi="Arial" w:eastAsia="Arial" w:cs="Arial"/>
                <w:sz w:val="18"/>
                <w:szCs w:val="18"/>
              </w:rPr>
            </w:pPr>
            <w:r>
              <w:rPr>
                <w:rFonts w:ascii="宋体" w:hAnsi="宋体" w:eastAsia="宋体" w:cs="宋体"/>
                <w:color w:val="333333"/>
                <w:spacing w:val="-8"/>
                <w:sz w:val="18"/>
                <w:szCs w:val="18"/>
              </w:rPr>
              <w:t>地区</w:t>
            </w:r>
            <w:r>
              <w:rPr>
                <w:rFonts w:ascii="宋体" w:hAnsi="宋体" w:eastAsia="宋体" w:cs="宋体"/>
                <w:color w:val="333333"/>
                <w:sz w:val="18"/>
                <w:szCs w:val="18"/>
              </w:rPr>
              <w:t xml:space="preserve"> </w:t>
            </w:r>
            <w:r>
              <w:rPr>
                <w:rFonts w:ascii="Arial" w:hAnsi="Arial" w:eastAsia="Arial" w:cs="Arial"/>
                <w:color w:val="333333"/>
                <w:spacing w:val="-8"/>
                <w:sz w:val="18"/>
                <w:szCs w:val="18"/>
              </w:rPr>
              <w:t>(</w:t>
            </w:r>
            <w:r>
              <w:rPr>
                <w:rFonts w:ascii="宋体" w:hAnsi="宋体" w:eastAsia="宋体" w:cs="宋体"/>
                <w:color w:val="333333"/>
                <w:spacing w:val="-8"/>
                <w:sz w:val="18"/>
                <w:szCs w:val="18"/>
              </w:rPr>
              <w:t>城市</w:t>
            </w:r>
            <w:r>
              <w:rPr>
                <w:rFonts w:ascii="Arial" w:hAnsi="Arial" w:eastAsia="Arial" w:cs="Arial"/>
                <w:color w:val="333333"/>
                <w:spacing w:val="-8"/>
                <w:sz w:val="18"/>
                <w:szCs w:val="18"/>
              </w:rPr>
              <w:t>)</w:t>
            </w:r>
          </w:p>
        </w:tc>
        <w:tc>
          <w:tcPr>
            <w:tcW w:w="3585" w:type="dxa"/>
            <w:gridSpan w:val="2"/>
            <w:vMerge w:val="restart"/>
            <w:tcBorders>
              <w:bottom w:val="nil"/>
            </w:tcBorders>
            <w:vAlign w:val="top"/>
          </w:tcPr>
          <w:p w14:paraId="497C0362">
            <w:pPr>
              <w:spacing w:line="243" w:lineRule="auto"/>
              <w:rPr>
                <w:rFonts w:ascii="Arial"/>
                <w:sz w:val="21"/>
              </w:rPr>
            </w:pPr>
          </w:p>
          <w:p w14:paraId="735F7B59">
            <w:pPr>
              <w:spacing w:before="59" w:line="219" w:lineRule="auto"/>
              <w:ind w:left="1362"/>
              <w:rPr>
                <w:rFonts w:ascii="宋体" w:hAnsi="宋体" w:eastAsia="宋体" w:cs="宋体"/>
                <w:sz w:val="18"/>
                <w:szCs w:val="18"/>
              </w:rPr>
            </w:pPr>
            <w:r>
              <w:rPr>
                <w:rFonts w:ascii="宋体" w:hAnsi="宋体" w:eastAsia="宋体" w:cs="宋体"/>
                <w:color w:val="333333"/>
                <w:spacing w:val="-4"/>
                <w:sz w:val="18"/>
                <w:szCs w:val="18"/>
              </w:rPr>
              <w:t>住宿费标准</w:t>
            </w:r>
          </w:p>
        </w:tc>
        <w:tc>
          <w:tcPr>
            <w:tcW w:w="990" w:type="dxa"/>
            <w:vMerge w:val="restart"/>
            <w:tcBorders>
              <w:bottom w:val="nil"/>
            </w:tcBorders>
            <w:vAlign w:val="top"/>
          </w:tcPr>
          <w:p w14:paraId="0131E8A4">
            <w:pPr>
              <w:spacing w:line="289" w:lineRule="auto"/>
              <w:rPr>
                <w:rFonts w:ascii="Arial"/>
                <w:sz w:val="21"/>
              </w:rPr>
            </w:pPr>
          </w:p>
          <w:p w14:paraId="6C6C92B1">
            <w:pPr>
              <w:spacing w:line="290" w:lineRule="auto"/>
              <w:rPr>
                <w:rFonts w:ascii="Arial"/>
                <w:sz w:val="21"/>
              </w:rPr>
            </w:pPr>
          </w:p>
          <w:p w14:paraId="55712778">
            <w:pPr>
              <w:spacing w:before="59" w:line="219" w:lineRule="auto"/>
              <w:ind w:left="191"/>
              <w:rPr>
                <w:rFonts w:ascii="宋体" w:hAnsi="宋体" w:eastAsia="宋体" w:cs="宋体"/>
                <w:sz w:val="18"/>
                <w:szCs w:val="18"/>
              </w:rPr>
            </w:pPr>
            <w:r>
              <w:rPr>
                <w:rFonts w:ascii="宋体" w:hAnsi="宋体" w:eastAsia="宋体" w:cs="宋体"/>
                <w:color w:val="333333"/>
                <w:spacing w:val="-7"/>
                <w:sz w:val="18"/>
                <w:szCs w:val="18"/>
              </w:rPr>
              <w:t>旺季地区</w:t>
            </w:r>
          </w:p>
        </w:tc>
        <w:tc>
          <w:tcPr>
            <w:tcW w:w="2993" w:type="dxa"/>
            <w:gridSpan w:val="3"/>
            <w:vAlign w:val="top"/>
          </w:tcPr>
          <w:p w14:paraId="16357516">
            <w:pPr>
              <w:spacing w:before="130" w:line="219" w:lineRule="auto"/>
              <w:ind w:left="1008"/>
              <w:rPr>
                <w:rFonts w:ascii="宋体" w:hAnsi="宋体" w:eastAsia="宋体" w:cs="宋体"/>
                <w:sz w:val="18"/>
                <w:szCs w:val="18"/>
              </w:rPr>
            </w:pPr>
            <w:r>
              <w:rPr>
                <w:rFonts w:ascii="宋体" w:hAnsi="宋体" w:eastAsia="宋体" w:cs="宋体"/>
                <w:color w:val="333333"/>
                <w:spacing w:val="-6"/>
                <w:sz w:val="18"/>
                <w:szCs w:val="18"/>
              </w:rPr>
              <w:t>旺季浮动标准</w:t>
            </w:r>
          </w:p>
        </w:tc>
      </w:tr>
      <w:tr w14:paraId="220D4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513" w:type="dxa"/>
            <w:vMerge w:val="continue"/>
            <w:tcBorders>
              <w:top w:val="nil"/>
              <w:bottom w:val="nil"/>
            </w:tcBorders>
            <w:vAlign w:val="top"/>
          </w:tcPr>
          <w:p w14:paraId="0819E6DC">
            <w:pPr>
              <w:rPr>
                <w:rFonts w:ascii="Arial"/>
                <w:sz w:val="21"/>
              </w:rPr>
            </w:pPr>
          </w:p>
        </w:tc>
        <w:tc>
          <w:tcPr>
            <w:tcW w:w="3184" w:type="dxa"/>
            <w:gridSpan w:val="2"/>
            <w:vMerge w:val="continue"/>
            <w:tcBorders>
              <w:top w:val="nil"/>
              <w:bottom w:val="nil"/>
            </w:tcBorders>
            <w:vAlign w:val="top"/>
          </w:tcPr>
          <w:p w14:paraId="05472BAB">
            <w:pPr>
              <w:rPr>
                <w:rFonts w:ascii="Arial"/>
                <w:sz w:val="21"/>
              </w:rPr>
            </w:pPr>
          </w:p>
        </w:tc>
        <w:tc>
          <w:tcPr>
            <w:tcW w:w="3585" w:type="dxa"/>
            <w:gridSpan w:val="2"/>
            <w:vMerge w:val="continue"/>
            <w:tcBorders>
              <w:top w:val="nil"/>
            </w:tcBorders>
            <w:vAlign w:val="top"/>
          </w:tcPr>
          <w:p w14:paraId="6860A389">
            <w:pPr>
              <w:rPr>
                <w:rFonts w:ascii="Arial"/>
                <w:sz w:val="21"/>
              </w:rPr>
            </w:pPr>
          </w:p>
        </w:tc>
        <w:tc>
          <w:tcPr>
            <w:tcW w:w="990" w:type="dxa"/>
            <w:vMerge w:val="continue"/>
            <w:tcBorders>
              <w:top w:val="nil"/>
              <w:bottom w:val="nil"/>
            </w:tcBorders>
            <w:vAlign w:val="top"/>
          </w:tcPr>
          <w:p w14:paraId="1B2865ED">
            <w:pPr>
              <w:rPr>
                <w:rFonts w:ascii="Arial"/>
                <w:sz w:val="21"/>
              </w:rPr>
            </w:pPr>
          </w:p>
        </w:tc>
        <w:tc>
          <w:tcPr>
            <w:tcW w:w="991" w:type="dxa"/>
            <w:vMerge w:val="restart"/>
            <w:tcBorders>
              <w:bottom w:val="nil"/>
            </w:tcBorders>
            <w:vAlign w:val="top"/>
          </w:tcPr>
          <w:p w14:paraId="444B81FD">
            <w:pPr>
              <w:spacing w:line="378" w:lineRule="auto"/>
              <w:rPr>
                <w:rFonts w:ascii="Arial"/>
                <w:sz w:val="21"/>
              </w:rPr>
            </w:pPr>
          </w:p>
          <w:p w14:paraId="31065230">
            <w:pPr>
              <w:spacing w:before="59" w:line="219" w:lineRule="auto"/>
              <w:ind w:left="197"/>
              <w:rPr>
                <w:rFonts w:ascii="宋体" w:hAnsi="宋体" w:eastAsia="宋体" w:cs="宋体"/>
                <w:sz w:val="18"/>
                <w:szCs w:val="18"/>
              </w:rPr>
            </w:pPr>
            <w:r>
              <w:rPr>
                <w:rFonts w:ascii="宋体" w:hAnsi="宋体" w:eastAsia="宋体" w:cs="宋体"/>
                <w:color w:val="333333"/>
                <w:spacing w:val="-7"/>
                <w:sz w:val="18"/>
                <w:szCs w:val="18"/>
              </w:rPr>
              <w:t>旺季期间</w:t>
            </w:r>
          </w:p>
        </w:tc>
        <w:tc>
          <w:tcPr>
            <w:tcW w:w="2002" w:type="dxa"/>
            <w:gridSpan w:val="2"/>
            <w:vAlign w:val="top"/>
          </w:tcPr>
          <w:p w14:paraId="1A4FA91A">
            <w:pPr>
              <w:spacing w:before="96" w:line="218" w:lineRule="auto"/>
              <w:ind w:left="603"/>
              <w:rPr>
                <w:rFonts w:ascii="宋体" w:hAnsi="宋体" w:eastAsia="宋体" w:cs="宋体"/>
                <w:sz w:val="18"/>
                <w:szCs w:val="18"/>
              </w:rPr>
            </w:pPr>
            <w:r>
              <w:rPr>
                <w:rFonts w:ascii="宋体" w:hAnsi="宋体" w:eastAsia="宋体" w:cs="宋体"/>
                <w:color w:val="333333"/>
                <w:spacing w:val="-7"/>
                <w:sz w:val="18"/>
                <w:szCs w:val="18"/>
              </w:rPr>
              <w:t>旺季上浮价</w:t>
            </w:r>
          </w:p>
        </w:tc>
      </w:tr>
      <w:tr w14:paraId="1424A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513" w:type="dxa"/>
            <w:vMerge w:val="continue"/>
            <w:tcBorders>
              <w:top w:val="nil"/>
            </w:tcBorders>
            <w:vAlign w:val="top"/>
          </w:tcPr>
          <w:p w14:paraId="18FB664B">
            <w:pPr>
              <w:rPr>
                <w:rFonts w:ascii="Arial"/>
                <w:sz w:val="21"/>
              </w:rPr>
            </w:pPr>
          </w:p>
        </w:tc>
        <w:tc>
          <w:tcPr>
            <w:tcW w:w="3184" w:type="dxa"/>
            <w:gridSpan w:val="2"/>
            <w:vMerge w:val="continue"/>
            <w:tcBorders>
              <w:top w:val="nil"/>
            </w:tcBorders>
            <w:vAlign w:val="top"/>
          </w:tcPr>
          <w:p w14:paraId="36237250">
            <w:pPr>
              <w:rPr>
                <w:rFonts w:ascii="Arial"/>
                <w:sz w:val="21"/>
              </w:rPr>
            </w:pPr>
          </w:p>
        </w:tc>
        <w:tc>
          <w:tcPr>
            <w:tcW w:w="2564" w:type="dxa"/>
            <w:vAlign w:val="top"/>
          </w:tcPr>
          <w:p w14:paraId="35F3C611">
            <w:pPr>
              <w:spacing w:before="264" w:line="219" w:lineRule="auto"/>
              <w:ind w:left="861"/>
              <w:rPr>
                <w:rFonts w:ascii="宋体" w:hAnsi="宋体" w:eastAsia="宋体" w:cs="宋体"/>
                <w:sz w:val="18"/>
                <w:szCs w:val="18"/>
              </w:rPr>
            </w:pPr>
            <w:r>
              <w:rPr>
                <w:rFonts w:ascii="宋体" w:hAnsi="宋体" w:eastAsia="宋体" w:cs="宋体"/>
                <w:color w:val="333333"/>
                <w:spacing w:val="-5"/>
                <w:sz w:val="18"/>
                <w:szCs w:val="18"/>
              </w:rPr>
              <w:t>理事会成员</w:t>
            </w:r>
          </w:p>
        </w:tc>
        <w:tc>
          <w:tcPr>
            <w:tcW w:w="1021" w:type="dxa"/>
            <w:vAlign w:val="top"/>
          </w:tcPr>
          <w:p w14:paraId="615217F3">
            <w:pPr>
              <w:spacing w:before="265" w:line="220" w:lineRule="auto"/>
              <w:ind w:left="180"/>
              <w:rPr>
                <w:rFonts w:ascii="宋体" w:hAnsi="宋体" w:eastAsia="宋体" w:cs="宋体"/>
                <w:sz w:val="18"/>
                <w:szCs w:val="18"/>
              </w:rPr>
            </w:pPr>
            <w:r>
              <w:rPr>
                <w:rFonts w:ascii="宋体" w:hAnsi="宋体" w:eastAsia="宋体" w:cs="宋体"/>
                <w:color w:val="333333"/>
                <w:spacing w:val="-4"/>
                <w:sz w:val="18"/>
                <w:szCs w:val="18"/>
              </w:rPr>
              <w:t>其他人员</w:t>
            </w:r>
          </w:p>
        </w:tc>
        <w:tc>
          <w:tcPr>
            <w:tcW w:w="990" w:type="dxa"/>
            <w:vMerge w:val="continue"/>
            <w:tcBorders>
              <w:top w:val="nil"/>
            </w:tcBorders>
            <w:vAlign w:val="top"/>
          </w:tcPr>
          <w:p w14:paraId="1B042FF9">
            <w:pPr>
              <w:rPr>
                <w:rFonts w:ascii="Arial"/>
                <w:sz w:val="21"/>
              </w:rPr>
            </w:pPr>
          </w:p>
        </w:tc>
        <w:tc>
          <w:tcPr>
            <w:tcW w:w="991" w:type="dxa"/>
            <w:vMerge w:val="continue"/>
            <w:tcBorders>
              <w:top w:val="nil"/>
            </w:tcBorders>
            <w:vAlign w:val="top"/>
          </w:tcPr>
          <w:p w14:paraId="6867F89A">
            <w:pPr>
              <w:rPr>
                <w:rFonts w:ascii="Arial"/>
                <w:sz w:val="21"/>
              </w:rPr>
            </w:pPr>
          </w:p>
        </w:tc>
        <w:tc>
          <w:tcPr>
            <w:tcW w:w="990" w:type="dxa"/>
            <w:vAlign w:val="top"/>
          </w:tcPr>
          <w:p w14:paraId="5F816156">
            <w:pPr>
              <w:spacing w:before="264" w:line="219" w:lineRule="auto"/>
              <w:ind w:left="88"/>
              <w:rPr>
                <w:rFonts w:ascii="宋体" w:hAnsi="宋体" w:eastAsia="宋体" w:cs="宋体"/>
                <w:sz w:val="18"/>
                <w:szCs w:val="18"/>
              </w:rPr>
            </w:pPr>
            <w:r>
              <w:rPr>
                <w:rFonts w:ascii="宋体" w:hAnsi="宋体" w:eastAsia="宋体" w:cs="宋体"/>
                <w:color w:val="333333"/>
                <w:spacing w:val="-5"/>
                <w:sz w:val="18"/>
                <w:szCs w:val="18"/>
              </w:rPr>
              <w:t>理事会成员</w:t>
            </w:r>
          </w:p>
        </w:tc>
        <w:tc>
          <w:tcPr>
            <w:tcW w:w="1012" w:type="dxa"/>
            <w:vAlign w:val="top"/>
          </w:tcPr>
          <w:p w14:paraId="0184E03D">
            <w:pPr>
              <w:spacing w:before="265" w:line="220" w:lineRule="auto"/>
              <w:ind w:left="179"/>
              <w:rPr>
                <w:rFonts w:ascii="宋体" w:hAnsi="宋体" w:eastAsia="宋体" w:cs="宋体"/>
                <w:sz w:val="18"/>
                <w:szCs w:val="18"/>
              </w:rPr>
            </w:pPr>
            <w:r>
              <w:rPr>
                <w:rFonts w:ascii="宋体" w:hAnsi="宋体" w:eastAsia="宋体" w:cs="宋体"/>
                <w:color w:val="333333"/>
                <w:spacing w:val="-4"/>
                <w:sz w:val="18"/>
                <w:szCs w:val="18"/>
              </w:rPr>
              <w:t>其他人员</w:t>
            </w:r>
          </w:p>
        </w:tc>
      </w:tr>
      <w:tr w14:paraId="476B8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Align w:val="top"/>
          </w:tcPr>
          <w:p w14:paraId="0591BD1C">
            <w:pPr>
              <w:spacing w:before="166" w:line="197" w:lineRule="auto"/>
              <w:ind w:left="265"/>
              <w:rPr>
                <w:rFonts w:ascii="Arial" w:hAnsi="Arial" w:eastAsia="Arial" w:cs="Arial"/>
                <w:sz w:val="18"/>
                <w:szCs w:val="18"/>
              </w:rPr>
            </w:pPr>
            <w:r>
              <w:rPr>
                <w:rFonts w:ascii="Arial" w:hAnsi="Arial" w:eastAsia="Arial" w:cs="Arial"/>
                <w:color w:val="333333"/>
                <w:sz w:val="18"/>
                <w:szCs w:val="18"/>
              </w:rPr>
              <w:t>1</w:t>
            </w:r>
          </w:p>
        </w:tc>
        <w:tc>
          <w:tcPr>
            <w:tcW w:w="620" w:type="dxa"/>
            <w:vAlign w:val="top"/>
          </w:tcPr>
          <w:p w14:paraId="20F9666E">
            <w:pPr>
              <w:spacing w:before="162" w:line="219" w:lineRule="auto"/>
              <w:ind w:left="148"/>
              <w:rPr>
                <w:rFonts w:ascii="宋体" w:hAnsi="宋体" w:eastAsia="宋体" w:cs="宋体"/>
                <w:sz w:val="18"/>
                <w:szCs w:val="18"/>
              </w:rPr>
            </w:pPr>
            <w:r>
              <w:rPr>
                <w:rFonts w:ascii="宋体" w:hAnsi="宋体" w:eastAsia="宋体" w:cs="宋体"/>
                <w:color w:val="333333"/>
                <w:spacing w:val="-5"/>
                <w:sz w:val="18"/>
                <w:szCs w:val="18"/>
              </w:rPr>
              <w:t>北京</w:t>
            </w:r>
          </w:p>
        </w:tc>
        <w:tc>
          <w:tcPr>
            <w:tcW w:w="2564" w:type="dxa"/>
            <w:vAlign w:val="top"/>
          </w:tcPr>
          <w:p w14:paraId="00F1B870">
            <w:pPr>
              <w:spacing w:before="162" w:line="219" w:lineRule="auto"/>
              <w:ind w:left="1117"/>
              <w:rPr>
                <w:rFonts w:ascii="宋体" w:hAnsi="宋体" w:eastAsia="宋体" w:cs="宋体"/>
                <w:sz w:val="18"/>
                <w:szCs w:val="18"/>
              </w:rPr>
            </w:pPr>
            <w:r>
              <w:rPr>
                <w:rFonts w:ascii="宋体" w:hAnsi="宋体" w:eastAsia="宋体" w:cs="宋体"/>
                <w:color w:val="333333"/>
                <w:spacing w:val="-4"/>
                <w:sz w:val="18"/>
                <w:szCs w:val="18"/>
              </w:rPr>
              <w:t>全市</w:t>
            </w:r>
          </w:p>
        </w:tc>
        <w:tc>
          <w:tcPr>
            <w:tcW w:w="2564" w:type="dxa"/>
            <w:vAlign w:val="top"/>
          </w:tcPr>
          <w:p w14:paraId="7FD06386">
            <w:pPr>
              <w:spacing w:before="161" w:line="196" w:lineRule="auto"/>
              <w:ind w:left="1152"/>
              <w:rPr>
                <w:rFonts w:ascii="Arial" w:hAnsi="Arial" w:eastAsia="Arial" w:cs="Arial"/>
                <w:sz w:val="18"/>
                <w:szCs w:val="18"/>
              </w:rPr>
            </w:pPr>
            <w:r>
              <w:rPr>
                <w:rFonts w:ascii="Arial" w:hAnsi="Arial" w:eastAsia="Arial" w:cs="Arial"/>
                <w:color w:val="333333"/>
                <w:spacing w:val="-3"/>
                <w:sz w:val="18"/>
                <w:szCs w:val="18"/>
              </w:rPr>
              <w:t>650</w:t>
            </w:r>
          </w:p>
        </w:tc>
        <w:tc>
          <w:tcPr>
            <w:tcW w:w="1021" w:type="dxa"/>
            <w:vAlign w:val="top"/>
          </w:tcPr>
          <w:p w14:paraId="5E546EC5">
            <w:pPr>
              <w:spacing w:before="161" w:line="196" w:lineRule="auto"/>
              <w:ind w:left="386"/>
              <w:rPr>
                <w:rFonts w:ascii="Arial" w:hAnsi="Arial" w:eastAsia="Arial" w:cs="Arial"/>
                <w:sz w:val="18"/>
                <w:szCs w:val="18"/>
              </w:rPr>
            </w:pPr>
            <w:r>
              <w:rPr>
                <w:rFonts w:ascii="Arial" w:hAnsi="Arial" w:eastAsia="Arial" w:cs="Arial"/>
                <w:color w:val="333333"/>
                <w:spacing w:val="-4"/>
                <w:sz w:val="18"/>
                <w:szCs w:val="18"/>
              </w:rPr>
              <w:t>500</w:t>
            </w:r>
          </w:p>
        </w:tc>
        <w:tc>
          <w:tcPr>
            <w:tcW w:w="990" w:type="dxa"/>
            <w:vAlign w:val="top"/>
          </w:tcPr>
          <w:p w14:paraId="00BA81AE">
            <w:pPr>
              <w:spacing w:line="251" w:lineRule="auto"/>
              <w:rPr>
                <w:rFonts w:ascii="Arial"/>
                <w:sz w:val="21"/>
              </w:rPr>
            </w:pPr>
          </w:p>
          <w:p w14:paraId="589B802D">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05E68FAB">
            <w:pPr>
              <w:spacing w:line="251" w:lineRule="auto"/>
              <w:rPr>
                <w:rFonts w:ascii="Arial"/>
                <w:sz w:val="21"/>
              </w:rPr>
            </w:pPr>
          </w:p>
          <w:p w14:paraId="5BE81001">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A1557D5">
            <w:pPr>
              <w:spacing w:line="251" w:lineRule="auto"/>
              <w:rPr>
                <w:rFonts w:ascii="Arial"/>
                <w:sz w:val="21"/>
              </w:rPr>
            </w:pPr>
          </w:p>
          <w:p w14:paraId="5C422C3F">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3421CBD6">
            <w:pPr>
              <w:spacing w:line="251" w:lineRule="auto"/>
              <w:rPr>
                <w:rFonts w:ascii="Arial"/>
                <w:sz w:val="21"/>
              </w:rPr>
            </w:pPr>
          </w:p>
          <w:p w14:paraId="540E3A8B">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05BA3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513" w:type="dxa"/>
            <w:vMerge w:val="restart"/>
            <w:tcBorders>
              <w:bottom w:val="nil"/>
            </w:tcBorders>
            <w:vAlign w:val="top"/>
          </w:tcPr>
          <w:p w14:paraId="6D33A702">
            <w:pPr>
              <w:spacing w:line="357" w:lineRule="auto"/>
              <w:rPr>
                <w:rFonts w:ascii="Arial"/>
                <w:sz w:val="21"/>
              </w:rPr>
            </w:pPr>
          </w:p>
          <w:p w14:paraId="5F749CB6">
            <w:pPr>
              <w:spacing w:line="358" w:lineRule="auto"/>
              <w:rPr>
                <w:rFonts w:ascii="Arial"/>
                <w:sz w:val="21"/>
              </w:rPr>
            </w:pPr>
          </w:p>
          <w:p w14:paraId="46D425DE">
            <w:pPr>
              <w:spacing w:before="52" w:line="197" w:lineRule="auto"/>
              <w:ind w:left="222"/>
              <w:rPr>
                <w:rFonts w:ascii="Arial" w:hAnsi="Arial" w:eastAsia="Arial" w:cs="Arial"/>
                <w:sz w:val="18"/>
                <w:szCs w:val="18"/>
              </w:rPr>
            </w:pPr>
            <w:r>
              <w:rPr>
                <w:rFonts w:ascii="Arial" w:hAnsi="Arial" w:eastAsia="Arial" w:cs="Arial"/>
                <w:color w:val="333333"/>
                <w:sz w:val="18"/>
                <w:szCs w:val="18"/>
              </w:rPr>
              <w:t>2</w:t>
            </w:r>
          </w:p>
        </w:tc>
        <w:tc>
          <w:tcPr>
            <w:tcW w:w="620" w:type="dxa"/>
            <w:vMerge w:val="restart"/>
            <w:tcBorders>
              <w:bottom w:val="nil"/>
            </w:tcBorders>
            <w:vAlign w:val="top"/>
          </w:tcPr>
          <w:p w14:paraId="4298D735">
            <w:pPr>
              <w:spacing w:line="355" w:lineRule="auto"/>
              <w:rPr>
                <w:rFonts w:ascii="Arial"/>
                <w:sz w:val="21"/>
              </w:rPr>
            </w:pPr>
          </w:p>
          <w:p w14:paraId="0B80FA40">
            <w:pPr>
              <w:spacing w:line="355" w:lineRule="auto"/>
              <w:rPr>
                <w:rFonts w:ascii="Arial"/>
                <w:sz w:val="21"/>
              </w:rPr>
            </w:pPr>
          </w:p>
          <w:p w14:paraId="0CE7F6B2">
            <w:pPr>
              <w:spacing w:before="59" w:line="219" w:lineRule="auto"/>
              <w:ind w:left="151"/>
              <w:rPr>
                <w:rFonts w:ascii="宋体" w:hAnsi="宋体" w:eastAsia="宋体" w:cs="宋体"/>
                <w:sz w:val="18"/>
                <w:szCs w:val="18"/>
              </w:rPr>
            </w:pPr>
            <w:r>
              <w:rPr>
                <w:rFonts w:ascii="宋体" w:hAnsi="宋体" w:eastAsia="宋体" w:cs="宋体"/>
                <w:color w:val="333333"/>
                <w:spacing w:val="-6"/>
                <w:sz w:val="18"/>
                <w:szCs w:val="18"/>
              </w:rPr>
              <w:t>天津</w:t>
            </w:r>
          </w:p>
        </w:tc>
        <w:tc>
          <w:tcPr>
            <w:tcW w:w="2564" w:type="dxa"/>
            <w:vAlign w:val="top"/>
          </w:tcPr>
          <w:p w14:paraId="6A3BE599">
            <w:pPr>
              <w:spacing w:before="204" w:line="227" w:lineRule="auto"/>
              <w:ind w:left="166" w:right="76" w:hanging="91"/>
              <w:rPr>
                <w:rFonts w:ascii="宋体" w:hAnsi="宋体" w:eastAsia="宋体" w:cs="宋体"/>
                <w:sz w:val="18"/>
                <w:szCs w:val="18"/>
              </w:rPr>
            </w:pPr>
            <w:r>
              <w:rPr>
                <w:rFonts w:ascii="Arial" w:hAnsi="Arial" w:eastAsia="Arial" w:cs="Arial"/>
                <w:color w:val="333333"/>
                <w:spacing w:val="-3"/>
                <w:sz w:val="18"/>
                <w:szCs w:val="18"/>
              </w:rPr>
              <w:t>6</w:t>
            </w:r>
            <w:r>
              <w:rPr>
                <w:rFonts w:ascii="宋体" w:hAnsi="宋体" w:eastAsia="宋体" w:cs="宋体"/>
                <w:color w:val="333333"/>
                <w:spacing w:val="-3"/>
                <w:sz w:val="18"/>
                <w:szCs w:val="18"/>
              </w:rPr>
              <w:t>个中心城区、滨海新区、东丽</w:t>
            </w:r>
            <w:r>
              <w:rPr>
                <w:rFonts w:ascii="宋体" w:hAnsi="宋体" w:eastAsia="宋体" w:cs="宋体"/>
                <w:color w:val="333333"/>
                <w:spacing w:val="8"/>
                <w:sz w:val="18"/>
                <w:szCs w:val="18"/>
              </w:rPr>
              <w:t xml:space="preserve"> </w:t>
            </w:r>
            <w:r>
              <w:rPr>
                <w:rFonts w:ascii="宋体" w:hAnsi="宋体" w:eastAsia="宋体" w:cs="宋体"/>
                <w:color w:val="333333"/>
                <w:spacing w:val="-6"/>
                <w:sz w:val="18"/>
                <w:szCs w:val="18"/>
              </w:rPr>
              <w:t>区、西青区、津南区、北辰区</w:t>
            </w:r>
            <w:r>
              <w:rPr>
                <w:rFonts w:ascii="宋体" w:hAnsi="宋体" w:eastAsia="宋体" w:cs="宋体"/>
                <w:color w:val="333333"/>
                <w:spacing w:val="11"/>
                <w:sz w:val="18"/>
                <w:szCs w:val="18"/>
              </w:rPr>
              <w:t xml:space="preserve"> </w:t>
            </w:r>
            <w:r>
              <w:rPr>
                <w:rFonts w:ascii="宋体" w:hAnsi="宋体" w:eastAsia="宋体" w:cs="宋体"/>
                <w:color w:val="333333"/>
                <w:spacing w:val="-9"/>
                <w:sz w:val="18"/>
                <w:szCs w:val="18"/>
              </w:rPr>
              <w:t>、武清区、宝坻区、静海区、</w:t>
            </w:r>
          </w:p>
          <w:p w14:paraId="2A174A2F">
            <w:pPr>
              <w:spacing w:line="220" w:lineRule="auto"/>
              <w:ind w:left="1128"/>
              <w:rPr>
                <w:rFonts w:ascii="宋体" w:hAnsi="宋体" w:eastAsia="宋体" w:cs="宋体"/>
                <w:sz w:val="18"/>
                <w:szCs w:val="18"/>
              </w:rPr>
            </w:pPr>
            <w:r>
              <w:rPr>
                <w:rFonts w:ascii="宋体" w:hAnsi="宋体" w:eastAsia="宋体" w:cs="宋体"/>
                <w:color w:val="333333"/>
                <w:spacing w:val="-6"/>
                <w:sz w:val="18"/>
                <w:szCs w:val="18"/>
              </w:rPr>
              <w:t>蓟县</w:t>
            </w:r>
          </w:p>
        </w:tc>
        <w:tc>
          <w:tcPr>
            <w:tcW w:w="2564" w:type="dxa"/>
            <w:vAlign w:val="top"/>
          </w:tcPr>
          <w:p w14:paraId="7DDC14E9">
            <w:pPr>
              <w:spacing w:line="243" w:lineRule="auto"/>
              <w:rPr>
                <w:rFonts w:ascii="Arial"/>
                <w:sz w:val="21"/>
              </w:rPr>
            </w:pPr>
          </w:p>
          <w:p w14:paraId="59CCC204">
            <w:pPr>
              <w:spacing w:line="244" w:lineRule="auto"/>
              <w:rPr>
                <w:rFonts w:ascii="Arial"/>
                <w:sz w:val="21"/>
              </w:rPr>
            </w:pPr>
          </w:p>
          <w:p w14:paraId="40FCA44B">
            <w:pPr>
              <w:spacing w:before="52"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7363EDB0">
            <w:pPr>
              <w:spacing w:line="243" w:lineRule="auto"/>
              <w:rPr>
                <w:rFonts w:ascii="Arial"/>
                <w:sz w:val="21"/>
              </w:rPr>
            </w:pPr>
          </w:p>
          <w:p w14:paraId="539DA4DF">
            <w:pPr>
              <w:spacing w:line="244" w:lineRule="auto"/>
              <w:rPr>
                <w:rFonts w:ascii="Arial"/>
                <w:sz w:val="21"/>
              </w:rPr>
            </w:pPr>
          </w:p>
          <w:p w14:paraId="6D6B3772">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380</w:t>
            </w:r>
          </w:p>
        </w:tc>
        <w:tc>
          <w:tcPr>
            <w:tcW w:w="990" w:type="dxa"/>
            <w:vAlign w:val="top"/>
          </w:tcPr>
          <w:p w14:paraId="4B6955D9">
            <w:pPr>
              <w:spacing w:line="314" w:lineRule="auto"/>
              <w:rPr>
                <w:rFonts w:ascii="Arial"/>
                <w:sz w:val="21"/>
              </w:rPr>
            </w:pPr>
          </w:p>
          <w:p w14:paraId="3BEE3E6E">
            <w:pPr>
              <w:spacing w:line="315" w:lineRule="auto"/>
              <w:rPr>
                <w:rFonts w:ascii="Arial"/>
                <w:sz w:val="21"/>
              </w:rPr>
            </w:pPr>
          </w:p>
          <w:p w14:paraId="49C32BBC">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2CCCD53">
            <w:pPr>
              <w:spacing w:line="314" w:lineRule="auto"/>
              <w:rPr>
                <w:rFonts w:ascii="Arial"/>
                <w:sz w:val="21"/>
              </w:rPr>
            </w:pPr>
          </w:p>
          <w:p w14:paraId="766195D1">
            <w:pPr>
              <w:spacing w:line="315" w:lineRule="auto"/>
              <w:rPr>
                <w:rFonts w:ascii="Arial"/>
                <w:sz w:val="21"/>
              </w:rPr>
            </w:pPr>
          </w:p>
          <w:p w14:paraId="62D4FDAE">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041F4082">
            <w:pPr>
              <w:spacing w:line="314" w:lineRule="auto"/>
              <w:rPr>
                <w:rFonts w:ascii="Arial"/>
                <w:sz w:val="21"/>
              </w:rPr>
            </w:pPr>
          </w:p>
          <w:p w14:paraId="686B5CA1">
            <w:pPr>
              <w:spacing w:line="315" w:lineRule="auto"/>
              <w:rPr>
                <w:rFonts w:ascii="Arial"/>
                <w:sz w:val="21"/>
              </w:rPr>
            </w:pPr>
          </w:p>
          <w:p w14:paraId="2F8D13C8">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21B0980E">
            <w:pPr>
              <w:spacing w:line="314" w:lineRule="auto"/>
              <w:rPr>
                <w:rFonts w:ascii="Arial"/>
                <w:sz w:val="21"/>
              </w:rPr>
            </w:pPr>
          </w:p>
          <w:p w14:paraId="2F2075DC">
            <w:pPr>
              <w:spacing w:line="315" w:lineRule="auto"/>
              <w:rPr>
                <w:rFonts w:ascii="Arial"/>
                <w:sz w:val="21"/>
              </w:rPr>
            </w:pPr>
          </w:p>
          <w:p w14:paraId="633FF827">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18759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7661DE1D">
            <w:pPr>
              <w:rPr>
                <w:rFonts w:ascii="Arial"/>
                <w:sz w:val="21"/>
              </w:rPr>
            </w:pPr>
          </w:p>
        </w:tc>
        <w:tc>
          <w:tcPr>
            <w:tcW w:w="620" w:type="dxa"/>
            <w:vMerge w:val="continue"/>
            <w:tcBorders>
              <w:top w:val="nil"/>
            </w:tcBorders>
            <w:vAlign w:val="top"/>
          </w:tcPr>
          <w:p w14:paraId="1042EEC9">
            <w:pPr>
              <w:rPr>
                <w:rFonts w:ascii="Arial"/>
                <w:sz w:val="21"/>
              </w:rPr>
            </w:pPr>
          </w:p>
        </w:tc>
        <w:tc>
          <w:tcPr>
            <w:tcW w:w="2564" w:type="dxa"/>
            <w:vAlign w:val="top"/>
          </w:tcPr>
          <w:p w14:paraId="5BC566E3">
            <w:pPr>
              <w:spacing w:before="164" w:line="221" w:lineRule="auto"/>
              <w:ind w:left="1056"/>
              <w:rPr>
                <w:rFonts w:ascii="宋体" w:hAnsi="宋体" w:eastAsia="宋体" w:cs="宋体"/>
                <w:sz w:val="18"/>
                <w:szCs w:val="18"/>
              </w:rPr>
            </w:pPr>
            <w:r>
              <w:rPr>
                <w:rFonts w:ascii="宋体" w:hAnsi="宋体" w:eastAsia="宋体" w:cs="宋体"/>
                <w:color w:val="333333"/>
                <w:spacing w:val="-8"/>
                <w:sz w:val="18"/>
                <w:szCs w:val="18"/>
              </w:rPr>
              <w:t>宁河区</w:t>
            </w:r>
          </w:p>
        </w:tc>
        <w:tc>
          <w:tcPr>
            <w:tcW w:w="2564" w:type="dxa"/>
            <w:vAlign w:val="top"/>
          </w:tcPr>
          <w:p w14:paraId="4E1A31F1">
            <w:pPr>
              <w:spacing w:before="168" w:line="196" w:lineRule="auto"/>
              <w:ind w:left="1155"/>
              <w:rPr>
                <w:rFonts w:ascii="Arial" w:hAnsi="Arial" w:eastAsia="Arial" w:cs="Arial"/>
                <w:sz w:val="18"/>
                <w:szCs w:val="18"/>
              </w:rPr>
            </w:pPr>
            <w:r>
              <w:rPr>
                <w:rFonts w:ascii="Arial" w:hAnsi="Arial" w:eastAsia="Arial" w:cs="Arial"/>
                <w:color w:val="333333"/>
                <w:spacing w:val="-4"/>
                <w:sz w:val="18"/>
                <w:szCs w:val="18"/>
              </w:rPr>
              <w:t>350</w:t>
            </w:r>
          </w:p>
        </w:tc>
        <w:tc>
          <w:tcPr>
            <w:tcW w:w="1021" w:type="dxa"/>
            <w:vAlign w:val="top"/>
          </w:tcPr>
          <w:p w14:paraId="21BF561F">
            <w:pPr>
              <w:spacing w:before="168" w:line="196" w:lineRule="auto"/>
              <w:ind w:left="386"/>
              <w:rPr>
                <w:rFonts w:ascii="Arial" w:hAnsi="Arial" w:eastAsia="Arial" w:cs="Arial"/>
                <w:sz w:val="18"/>
                <w:szCs w:val="18"/>
              </w:rPr>
            </w:pPr>
            <w:r>
              <w:rPr>
                <w:rFonts w:ascii="Arial" w:hAnsi="Arial" w:eastAsia="Arial" w:cs="Arial"/>
                <w:color w:val="333333"/>
                <w:spacing w:val="-4"/>
                <w:sz w:val="18"/>
                <w:szCs w:val="18"/>
              </w:rPr>
              <w:t>320</w:t>
            </w:r>
          </w:p>
        </w:tc>
        <w:tc>
          <w:tcPr>
            <w:tcW w:w="990" w:type="dxa"/>
            <w:vAlign w:val="top"/>
          </w:tcPr>
          <w:p w14:paraId="2E15F071">
            <w:pPr>
              <w:spacing w:line="256" w:lineRule="auto"/>
              <w:rPr>
                <w:rFonts w:ascii="Arial"/>
                <w:sz w:val="21"/>
              </w:rPr>
            </w:pPr>
          </w:p>
          <w:p w14:paraId="478491BA">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FCAF98A">
            <w:pPr>
              <w:spacing w:line="256" w:lineRule="auto"/>
              <w:rPr>
                <w:rFonts w:ascii="Arial"/>
                <w:sz w:val="21"/>
              </w:rPr>
            </w:pPr>
          </w:p>
          <w:p w14:paraId="667FD002">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47267E43">
            <w:pPr>
              <w:spacing w:line="256" w:lineRule="auto"/>
              <w:rPr>
                <w:rFonts w:ascii="Arial"/>
                <w:sz w:val="21"/>
              </w:rPr>
            </w:pPr>
          </w:p>
          <w:p w14:paraId="53F25FD5">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41DA0CB2">
            <w:pPr>
              <w:spacing w:line="256" w:lineRule="auto"/>
              <w:rPr>
                <w:rFonts w:ascii="Arial"/>
                <w:sz w:val="21"/>
              </w:rPr>
            </w:pPr>
          </w:p>
          <w:p w14:paraId="50DAB440">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58466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restart"/>
            <w:tcBorders>
              <w:bottom w:val="nil"/>
            </w:tcBorders>
            <w:vAlign w:val="top"/>
          </w:tcPr>
          <w:p w14:paraId="75000C2F">
            <w:pPr>
              <w:spacing w:line="332" w:lineRule="auto"/>
              <w:rPr>
                <w:rFonts w:ascii="Arial"/>
                <w:sz w:val="21"/>
              </w:rPr>
            </w:pPr>
          </w:p>
          <w:p w14:paraId="5B47D1B5">
            <w:pPr>
              <w:spacing w:line="333" w:lineRule="auto"/>
              <w:rPr>
                <w:rFonts w:ascii="Arial"/>
                <w:sz w:val="21"/>
              </w:rPr>
            </w:pPr>
          </w:p>
          <w:p w14:paraId="60D2364B">
            <w:pPr>
              <w:spacing w:before="51" w:line="196" w:lineRule="auto"/>
              <w:ind w:left="227"/>
              <w:rPr>
                <w:rFonts w:ascii="Arial" w:hAnsi="Arial" w:eastAsia="Arial" w:cs="Arial"/>
                <w:sz w:val="18"/>
                <w:szCs w:val="18"/>
              </w:rPr>
            </w:pPr>
            <w:r>
              <w:rPr>
                <w:rFonts w:ascii="Arial" w:hAnsi="Arial" w:eastAsia="Arial" w:cs="Arial"/>
                <w:color w:val="333333"/>
                <w:sz w:val="18"/>
                <w:szCs w:val="18"/>
              </w:rPr>
              <w:t>3</w:t>
            </w:r>
          </w:p>
        </w:tc>
        <w:tc>
          <w:tcPr>
            <w:tcW w:w="620" w:type="dxa"/>
            <w:vMerge w:val="restart"/>
            <w:tcBorders>
              <w:bottom w:val="nil"/>
            </w:tcBorders>
            <w:vAlign w:val="top"/>
          </w:tcPr>
          <w:p w14:paraId="18B4665A">
            <w:pPr>
              <w:spacing w:line="327" w:lineRule="auto"/>
              <w:rPr>
                <w:rFonts w:ascii="Arial"/>
                <w:sz w:val="21"/>
              </w:rPr>
            </w:pPr>
          </w:p>
          <w:p w14:paraId="1D5C4FC5">
            <w:pPr>
              <w:spacing w:line="327" w:lineRule="auto"/>
              <w:rPr>
                <w:rFonts w:ascii="Arial"/>
                <w:sz w:val="21"/>
              </w:rPr>
            </w:pPr>
          </w:p>
          <w:p w14:paraId="2C1160BB">
            <w:pPr>
              <w:spacing w:before="59" w:line="221" w:lineRule="auto"/>
              <w:ind w:left="140"/>
              <w:rPr>
                <w:rFonts w:ascii="宋体" w:hAnsi="宋体" w:eastAsia="宋体" w:cs="宋体"/>
                <w:sz w:val="18"/>
                <w:szCs w:val="18"/>
              </w:rPr>
            </w:pPr>
            <w:r>
              <w:rPr>
                <w:rFonts w:ascii="宋体" w:hAnsi="宋体" w:eastAsia="宋体" w:cs="宋体"/>
                <w:color w:val="333333"/>
                <w:spacing w:val="-4"/>
                <w:sz w:val="18"/>
                <w:szCs w:val="18"/>
              </w:rPr>
              <w:t>河北</w:t>
            </w:r>
          </w:p>
        </w:tc>
        <w:tc>
          <w:tcPr>
            <w:tcW w:w="2564" w:type="dxa"/>
            <w:vMerge w:val="restart"/>
            <w:tcBorders>
              <w:bottom w:val="nil"/>
            </w:tcBorders>
            <w:vAlign w:val="top"/>
          </w:tcPr>
          <w:p w14:paraId="4E671C34">
            <w:pPr>
              <w:spacing w:line="318" w:lineRule="auto"/>
              <w:rPr>
                <w:rFonts w:ascii="Arial"/>
                <w:sz w:val="21"/>
              </w:rPr>
            </w:pPr>
          </w:p>
          <w:p w14:paraId="40949577">
            <w:pPr>
              <w:spacing w:before="59" w:line="220" w:lineRule="auto"/>
              <w:ind w:left="142" w:right="112" w:hanging="11"/>
              <w:rPr>
                <w:rFonts w:ascii="宋体" w:hAnsi="宋体" w:eastAsia="宋体" w:cs="宋体"/>
                <w:sz w:val="18"/>
                <w:szCs w:val="18"/>
              </w:rPr>
            </w:pPr>
            <w:r>
              <w:rPr>
                <w:rFonts w:ascii="宋体" w:hAnsi="宋体" w:eastAsia="宋体" w:cs="宋体"/>
                <w:color w:val="333333"/>
                <w:spacing w:val="-3"/>
                <w:sz w:val="18"/>
                <w:szCs w:val="18"/>
              </w:rPr>
              <w:t>石家庄市、张家口市、秦皇岛</w:t>
            </w:r>
            <w:r>
              <w:rPr>
                <w:rFonts w:ascii="宋体" w:hAnsi="宋体" w:eastAsia="宋体" w:cs="宋体"/>
                <w:color w:val="333333"/>
                <w:spacing w:val="6"/>
                <w:sz w:val="18"/>
                <w:szCs w:val="18"/>
              </w:rPr>
              <w:t xml:space="preserve"> </w:t>
            </w:r>
            <w:r>
              <w:rPr>
                <w:rFonts w:ascii="宋体" w:hAnsi="宋体" w:eastAsia="宋体" w:cs="宋体"/>
                <w:color w:val="333333"/>
                <w:spacing w:val="-3"/>
                <w:sz w:val="18"/>
                <w:szCs w:val="18"/>
              </w:rPr>
              <w:t>市、廊坊市、承德市、保定市</w:t>
            </w:r>
          </w:p>
        </w:tc>
        <w:tc>
          <w:tcPr>
            <w:tcW w:w="2564" w:type="dxa"/>
            <w:vMerge w:val="restart"/>
            <w:tcBorders>
              <w:bottom w:val="nil"/>
            </w:tcBorders>
            <w:vAlign w:val="top"/>
          </w:tcPr>
          <w:p w14:paraId="1CD49474">
            <w:pPr>
              <w:spacing w:line="431" w:lineRule="auto"/>
              <w:rPr>
                <w:rFonts w:ascii="Arial"/>
                <w:sz w:val="21"/>
              </w:rPr>
            </w:pPr>
          </w:p>
          <w:p w14:paraId="3BB63B4D">
            <w:pPr>
              <w:spacing w:before="52"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Merge w:val="restart"/>
            <w:tcBorders>
              <w:bottom w:val="nil"/>
            </w:tcBorders>
            <w:vAlign w:val="top"/>
          </w:tcPr>
          <w:p w14:paraId="799BB1FC">
            <w:pPr>
              <w:spacing w:line="431" w:lineRule="auto"/>
              <w:rPr>
                <w:rFonts w:ascii="Arial"/>
                <w:sz w:val="21"/>
              </w:rPr>
            </w:pPr>
          </w:p>
          <w:p w14:paraId="522DCBDB">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01253600">
            <w:pPr>
              <w:spacing w:before="167" w:line="219" w:lineRule="auto"/>
              <w:ind w:left="180"/>
              <w:rPr>
                <w:rFonts w:ascii="宋体" w:hAnsi="宋体" w:eastAsia="宋体" w:cs="宋体"/>
                <w:sz w:val="18"/>
                <w:szCs w:val="18"/>
              </w:rPr>
            </w:pPr>
            <w:r>
              <w:rPr>
                <w:rFonts w:ascii="宋体" w:hAnsi="宋体" w:eastAsia="宋体" w:cs="宋体"/>
                <w:color w:val="333333"/>
                <w:spacing w:val="-6"/>
                <w:sz w:val="18"/>
                <w:szCs w:val="18"/>
              </w:rPr>
              <w:t>张家口市</w:t>
            </w:r>
          </w:p>
        </w:tc>
        <w:tc>
          <w:tcPr>
            <w:tcW w:w="991" w:type="dxa"/>
            <w:vAlign w:val="top"/>
          </w:tcPr>
          <w:p w14:paraId="00AE5ACD">
            <w:pPr>
              <w:spacing w:before="40" w:line="209" w:lineRule="auto"/>
              <w:ind w:left="391" w:right="35" w:hanging="299"/>
              <w:rPr>
                <w:rFonts w:ascii="宋体" w:hAnsi="宋体" w:eastAsia="宋体" w:cs="宋体"/>
                <w:sz w:val="18"/>
                <w:szCs w:val="18"/>
              </w:rPr>
            </w:pPr>
            <w:r>
              <w:rPr>
                <w:rFonts w:ascii="Arial" w:hAnsi="Arial" w:eastAsia="Arial" w:cs="Arial"/>
                <w:color w:val="333333"/>
                <w:spacing w:val="-3"/>
                <w:sz w:val="18"/>
                <w:szCs w:val="18"/>
              </w:rPr>
              <w:t>7-9</w:t>
            </w:r>
            <w:r>
              <w:rPr>
                <w:rFonts w:ascii="宋体" w:hAnsi="宋体" w:eastAsia="宋体" w:cs="宋体"/>
                <w:color w:val="333333"/>
                <w:spacing w:val="-3"/>
                <w:sz w:val="18"/>
                <w:szCs w:val="18"/>
              </w:rPr>
              <w:t>月、</w:t>
            </w:r>
            <w:r>
              <w:rPr>
                <w:rFonts w:ascii="Arial" w:hAnsi="Arial" w:eastAsia="Arial" w:cs="Arial"/>
                <w:color w:val="333333"/>
                <w:spacing w:val="-3"/>
                <w:sz w:val="18"/>
                <w:szCs w:val="18"/>
              </w:rPr>
              <w:t>11-</w:t>
            </w:r>
            <w:r>
              <w:rPr>
                <w:rFonts w:ascii="Arial" w:hAnsi="Arial" w:eastAsia="Arial" w:cs="Arial"/>
                <w:color w:val="333333"/>
                <w:sz w:val="18"/>
                <w:szCs w:val="18"/>
              </w:rPr>
              <w:t xml:space="preserve"> </w:t>
            </w:r>
            <w:r>
              <w:rPr>
                <w:rFonts w:ascii="Arial" w:hAnsi="Arial" w:eastAsia="Arial" w:cs="Arial"/>
                <w:color w:val="333333"/>
                <w:spacing w:val="-4"/>
                <w:sz w:val="18"/>
                <w:szCs w:val="18"/>
              </w:rPr>
              <w:t>3</w:t>
            </w:r>
            <w:r>
              <w:rPr>
                <w:rFonts w:ascii="宋体" w:hAnsi="宋体" w:eastAsia="宋体" w:cs="宋体"/>
                <w:color w:val="333333"/>
                <w:spacing w:val="-4"/>
                <w:sz w:val="18"/>
                <w:szCs w:val="18"/>
              </w:rPr>
              <w:t>月</w:t>
            </w:r>
          </w:p>
        </w:tc>
        <w:tc>
          <w:tcPr>
            <w:tcW w:w="990" w:type="dxa"/>
            <w:vAlign w:val="top"/>
          </w:tcPr>
          <w:p w14:paraId="040E35F3">
            <w:pPr>
              <w:spacing w:before="168" w:line="196" w:lineRule="auto"/>
              <w:ind w:left="381"/>
              <w:rPr>
                <w:rFonts w:ascii="Arial" w:hAnsi="Arial" w:eastAsia="Arial" w:cs="Arial"/>
                <w:sz w:val="18"/>
                <w:szCs w:val="18"/>
              </w:rPr>
            </w:pPr>
            <w:r>
              <w:rPr>
                <w:rFonts w:ascii="Arial" w:hAnsi="Arial" w:eastAsia="Arial" w:cs="Arial"/>
                <w:color w:val="333333"/>
                <w:spacing w:val="-3"/>
                <w:sz w:val="18"/>
                <w:szCs w:val="18"/>
              </w:rPr>
              <w:t>675</w:t>
            </w:r>
          </w:p>
        </w:tc>
        <w:tc>
          <w:tcPr>
            <w:tcW w:w="1012" w:type="dxa"/>
            <w:vAlign w:val="top"/>
          </w:tcPr>
          <w:p w14:paraId="65B35B0D">
            <w:pPr>
              <w:spacing w:before="168" w:line="196" w:lineRule="auto"/>
              <w:ind w:left="387"/>
              <w:rPr>
                <w:rFonts w:ascii="Arial" w:hAnsi="Arial" w:eastAsia="Arial" w:cs="Arial"/>
                <w:sz w:val="18"/>
                <w:szCs w:val="18"/>
              </w:rPr>
            </w:pPr>
            <w:r>
              <w:rPr>
                <w:rFonts w:ascii="Arial" w:hAnsi="Arial" w:eastAsia="Arial" w:cs="Arial"/>
                <w:color w:val="333333"/>
                <w:spacing w:val="-4"/>
                <w:sz w:val="18"/>
                <w:szCs w:val="18"/>
              </w:rPr>
              <w:t>525</w:t>
            </w:r>
          </w:p>
        </w:tc>
      </w:tr>
      <w:tr w14:paraId="5DE9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513" w:type="dxa"/>
            <w:vMerge w:val="continue"/>
            <w:tcBorders>
              <w:top w:val="nil"/>
              <w:bottom w:val="nil"/>
            </w:tcBorders>
            <w:vAlign w:val="top"/>
          </w:tcPr>
          <w:p w14:paraId="67E6596C">
            <w:pPr>
              <w:rPr>
                <w:rFonts w:ascii="Arial"/>
                <w:sz w:val="21"/>
              </w:rPr>
            </w:pPr>
          </w:p>
        </w:tc>
        <w:tc>
          <w:tcPr>
            <w:tcW w:w="620" w:type="dxa"/>
            <w:vMerge w:val="continue"/>
            <w:tcBorders>
              <w:top w:val="nil"/>
              <w:bottom w:val="nil"/>
            </w:tcBorders>
            <w:vAlign w:val="top"/>
          </w:tcPr>
          <w:p w14:paraId="114814B7">
            <w:pPr>
              <w:rPr>
                <w:rFonts w:ascii="Arial"/>
                <w:sz w:val="21"/>
              </w:rPr>
            </w:pPr>
          </w:p>
        </w:tc>
        <w:tc>
          <w:tcPr>
            <w:tcW w:w="2564" w:type="dxa"/>
            <w:vMerge w:val="continue"/>
            <w:tcBorders>
              <w:top w:val="nil"/>
              <w:bottom w:val="nil"/>
            </w:tcBorders>
            <w:vAlign w:val="top"/>
          </w:tcPr>
          <w:p w14:paraId="22741FCE">
            <w:pPr>
              <w:rPr>
                <w:rFonts w:ascii="Arial"/>
                <w:sz w:val="21"/>
              </w:rPr>
            </w:pPr>
          </w:p>
        </w:tc>
        <w:tc>
          <w:tcPr>
            <w:tcW w:w="2564" w:type="dxa"/>
            <w:vMerge w:val="continue"/>
            <w:tcBorders>
              <w:top w:val="nil"/>
              <w:bottom w:val="nil"/>
            </w:tcBorders>
            <w:vAlign w:val="top"/>
          </w:tcPr>
          <w:p w14:paraId="37E3E2C6">
            <w:pPr>
              <w:rPr>
                <w:rFonts w:ascii="Arial"/>
                <w:sz w:val="21"/>
              </w:rPr>
            </w:pPr>
          </w:p>
        </w:tc>
        <w:tc>
          <w:tcPr>
            <w:tcW w:w="1021" w:type="dxa"/>
            <w:vMerge w:val="continue"/>
            <w:tcBorders>
              <w:top w:val="nil"/>
              <w:bottom w:val="nil"/>
            </w:tcBorders>
            <w:vAlign w:val="top"/>
          </w:tcPr>
          <w:p w14:paraId="697B21B6">
            <w:pPr>
              <w:rPr>
                <w:rFonts w:ascii="Arial"/>
                <w:sz w:val="21"/>
              </w:rPr>
            </w:pPr>
          </w:p>
        </w:tc>
        <w:tc>
          <w:tcPr>
            <w:tcW w:w="990" w:type="dxa"/>
            <w:vAlign w:val="top"/>
          </w:tcPr>
          <w:p w14:paraId="1787E5B2">
            <w:pPr>
              <w:spacing w:before="109" w:line="219" w:lineRule="auto"/>
              <w:ind w:left="170"/>
              <w:rPr>
                <w:rFonts w:ascii="宋体" w:hAnsi="宋体" w:eastAsia="宋体" w:cs="宋体"/>
                <w:sz w:val="18"/>
                <w:szCs w:val="18"/>
              </w:rPr>
            </w:pPr>
            <w:r>
              <w:rPr>
                <w:rFonts w:ascii="宋体" w:hAnsi="宋体" w:eastAsia="宋体" w:cs="宋体"/>
                <w:color w:val="333333"/>
                <w:spacing w:val="-4"/>
                <w:sz w:val="18"/>
                <w:szCs w:val="18"/>
              </w:rPr>
              <w:t>秦皇岛市</w:t>
            </w:r>
          </w:p>
        </w:tc>
        <w:tc>
          <w:tcPr>
            <w:tcW w:w="991" w:type="dxa"/>
            <w:vAlign w:val="top"/>
          </w:tcPr>
          <w:p w14:paraId="1494454A">
            <w:pPr>
              <w:spacing w:before="109" w:line="219" w:lineRule="auto"/>
              <w:ind w:left="315"/>
              <w:rPr>
                <w:rFonts w:ascii="宋体" w:hAnsi="宋体" w:eastAsia="宋体" w:cs="宋体"/>
                <w:sz w:val="18"/>
                <w:szCs w:val="18"/>
              </w:rPr>
            </w:pPr>
            <w:r>
              <w:rPr>
                <w:rFonts w:ascii="Arial" w:hAnsi="Arial" w:eastAsia="Arial" w:cs="Arial"/>
                <w:color w:val="333333"/>
                <w:spacing w:val="-4"/>
                <w:sz w:val="18"/>
                <w:szCs w:val="18"/>
              </w:rPr>
              <w:t>7-8</w:t>
            </w:r>
            <w:r>
              <w:rPr>
                <w:rFonts w:ascii="宋体" w:hAnsi="宋体" w:eastAsia="宋体" w:cs="宋体"/>
                <w:color w:val="333333"/>
                <w:spacing w:val="-4"/>
                <w:sz w:val="18"/>
                <w:szCs w:val="18"/>
              </w:rPr>
              <w:t>月</w:t>
            </w:r>
          </w:p>
        </w:tc>
        <w:tc>
          <w:tcPr>
            <w:tcW w:w="990" w:type="dxa"/>
            <w:vAlign w:val="top"/>
          </w:tcPr>
          <w:p w14:paraId="0920E6F1">
            <w:pPr>
              <w:spacing w:before="111" w:line="196" w:lineRule="auto"/>
              <w:ind w:left="381"/>
              <w:rPr>
                <w:rFonts w:ascii="Arial" w:hAnsi="Arial" w:eastAsia="Arial" w:cs="Arial"/>
                <w:sz w:val="18"/>
                <w:szCs w:val="18"/>
              </w:rPr>
            </w:pPr>
            <w:r>
              <w:rPr>
                <w:rFonts w:ascii="Arial" w:hAnsi="Arial" w:eastAsia="Arial" w:cs="Arial"/>
                <w:color w:val="333333"/>
                <w:spacing w:val="-3"/>
                <w:sz w:val="18"/>
                <w:szCs w:val="18"/>
              </w:rPr>
              <w:t>680</w:t>
            </w:r>
          </w:p>
        </w:tc>
        <w:tc>
          <w:tcPr>
            <w:tcW w:w="1012" w:type="dxa"/>
            <w:vAlign w:val="top"/>
          </w:tcPr>
          <w:p w14:paraId="342D8D46">
            <w:pPr>
              <w:spacing w:before="111" w:line="196" w:lineRule="auto"/>
              <w:ind w:left="387"/>
              <w:rPr>
                <w:rFonts w:ascii="Arial" w:hAnsi="Arial" w:eastAsia="Arial" w:cs="Arial"/>
                <w:sz w:val="18"/>
                <w:szCs w:val="18"/>
              </w:rPr>
            </w:pPr>
            <w:r>
              <w:rPr>
                <w:rFonts w:ascii="Arial" w:hAnsi="Arial" w:eastAsia="Arial" w:cs="Arial"/>
                <w:color w:val="333333"/>
                <w:spacing w:val="-4"/>
                <w:sz w:val="18"/>
                <w:szCs w:val="18"/>
              </w:rPr>
              <w:t>500</w:t>
            </w:r>
          </w:p>
        </w:tc>
      </w:tr>
      <w:tr w14:paraId="3D123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13" w:type="dxa"/>
            <w:vMerge w:val="continue"/>
            <w:tcBorders>
              <w:top w:val="nil"/>
              <w:bottom w:val="nil"/>
            </w:tcBorders>
            <w:vAlign w:val="top"/>
          </w:tcPr>
          <w:p w14:paraId="0E3E994B">
            <w:pPr>
              <w:rPr>
                <w:rFonts w:ascii="Arial"/>
                <w:sz w:val="21"/>
              </w:rPr>
            </w:pPr>
          </w:p>
        </w:tc>
        <w:tc>
          <w:tcPr>
            <w:tcW w:w="620" w:type="dxa"/>
            <w:vMerge w:val="continue"/>
            <w:tcBorders>
              <w:top w:val="nil"/>
              <w:bottom w:val="nil"/>
            </w:tcBorders>
            <w:vAlign w:val="top"/>
          </w:tcPr>
          <w:p w14:paraId="085489FA">
            <w:pPr>
              <w:rPr>
                <w:rFonts w:ascii="Arial"/>
                <w:sz w:val="21"/>
              </w:rPr>
            </w:pPr>
          </w:p>
        </w:tc>
        <w:tc>
          <w:tcPr>
            <w:tcW w:w="2564" w:type="dxa"/>
            <w:vMerge w:val="continue"/>
            <w:tcBorders>
              <w:top w:val="nil"/>
            </w:tcBorders>
            <w:vAlign w:val="top"/>
          </w:tcPr>
          <w:p w14:paraId="2F772C47">
            <w:pPr>
              <w:rPr>
                <w:rFonts w:ascii="Arial"/>
                <w:sz w:val="21"/>
              </w:rPr>
            </w:pPr>
          </w:p>
        </w:tc>
        <w:tc>
          <w:tcPr>
            <w:tcW w:w="2564" w:type="dxa"/>
            <w:vMerge w:val="continue"/>
            <w:tcBorders>
              <w:top w:val="nil"/>
            </w:tcBorders>
            <w:vAlign w:val="top"/>
          </w:tcPr>
          <w:p w14:paraId="3616C799">
            <w:pPr>
              <w:rPr>
                <w:rFonts w:ascii="Arial"/>
                <w:sz w:val="21"/>
              </w:rPr>
            </w:pPr>
          </w:p>
        </w:tc>
        <w:tc>
          <w:tcPr>
            <w:tcW w:w="1021" w:type="dxa"/>
            <w:vMerge w:val="continue"/>
            <w:tcBorders>
              <w:top w:val="nil"/>
            </w:tcBorders>
            <w:vAlign w:val="top"/>
          </w:tcPr>
          <w:p w14:paraId="4E115424">
            <w:pPr>
              <w:rPr>
                <w:rFonts w:ascii="Arial"/>
                <w:sz w:val="21"/>
              </w:rPr>
            </w:pPr>
          </w:p>
        </w:tc>
        <w:tc>
          <w:tcPr>
            <w:tcW w:w="990" w:type="dxa"/>
            <w:vAlign w:val="top"/>
          </w:tcPr>
          <w:p w14:paraId="3574C78A">
            <w:pPr>
              <w:spacing w:before="70" w:line="210" w:lineRule="auto"/>
              <w:ind w:left="255"/>
              <w:rPr>
                <w:rFonts w:ascii="宋体" w:hAnsi="宋体" w:eastAsia="宋体" w:cs="宋体"/>
                <w:sz w:val="18"/>
                <w:szCs w:val="18"/>
              </w:rPr>
            </w:pPr>
            <w:r>
              <w:rPr>
                <w:rFonts w:ascii="宋体" w:hAnsi="宋体" w:eastAsia="宋体" w:cs="宋体"/>
                <w:color w:val="333333"/>
                <w:spacing w:val="-4"/>
                <w:sz w:val="18"/>
                <w:szCs w:val="18"/>
              </w:rPr>
              <w:t>承德市</w:t>
            </w:r>
          </w:p>
        </w:tc>
        <w:tc>
          <w:tcPr>
            <w:tcW w:w="991" w:type="dxa"/>
            <w:vAlign w:val="top"/>
          </w:tcPr>
          <w:p w14:paraId="12886D94">
            <w:pPr>
              <w:spacing w:before="70" w:line="210" w:lineRule="auto"/>
              <w:ind w:left="315"/>
              <w:rPr>
                <w:rFonts w:ascii="宋体" w:hAnsi="宋体" w:eastAsia="宋体" w:cs="宋体"/>
                <w:sz w:val="18"/>
                <w:szCs w:val="18"/>
              </w:rPr>
            </w:pPr>
            <w:r>
              <w:rPr>
                <w:rFonts w:ascii="Arial" w:hAnsi="Arial" w:eastAsia="Arial" w:cs="Arial"/>
                <w:color w:val="333333"/>
                <w:spacing w:val="-4"/>
                <w:sz w:val="18"/>
                <w:szCs w:val="18"/>
              </w:rPr>
              <w:t>7-9</w:t>
            </w:r>
            <w:r>
              <w:rPr>
                <w:rFonts w:ascii="宋体" w:hAnsi="宋体" w:eastAsia="宋体" w:cs="宋体"/>
                <w:color w:val="333333"/>
                <w:spacing w:val="-4"/>
                <w:sz w:val="18"/>
                <w:szCs w:val="18"/>
              </w:rPr>
              <w:t>月</w:t>
            </w:r>
          </w:p>
        </w:tc>
        <w:tc>
          <w:tcPr>
            <w:tcW w:w="990" w:type="dxa"/>
            <w:vAlign w:val="top"/>
          </w:tcPr>
          <w:p w14:paraId="6AD3876C">
            <w:pPr>
              <w:spacing w:before="83" w:line="196" w:lineRule="auto"/>
              <w:ind w:left="384"/>
              <w:rPr>
                <w:rFonts w:ascii="Arial" w:hAnsi="Arial" w:eastAsia="Arial" w:cs="Arial"/>
                <w:sz w:val="18"/>
                <w:szCs w:val="18"/>
              </w:rPr>
            </w:pPr>
            <w:r>
              <w:rPr>
                <w:rFonts w:ascii="Arial" w:hAnsi="Arial" w:eastAsia="Arial" w:cs="Arial"/>
                <w:color w:val="333333"/>
                <w:spacing w:val="-4"/>
                <w:sz w:val="18"/>
                <w:szCs w:val="18"/>
              </w:rPr>
              <w:t>580</w:t>
            </w:r>
          </w:p>
        </w:tc>
        <w:tc>
          <w:tcPr>
            <w:tcW w:w="1012" w:type="dxa"/>
            <w:vAlign w:val="top"/>
          </w:tcPr>
          <w:p w14:paraId="6F4E1A4F">
            <w:pPr>
              <w:spacing w:before="83" w:line="196" w:lineRule="auto"/>
              <w:ind w:left="387"/>
              <w:rPr>
                <w:rFonts w:ascii="Arial" w:hAnsi="Arial" w:eastAsia="Arial" w:cs="Arial"/>
                <w:sz w:val="18"/>
                <w:szCs w:val="18"/>
              </w:rPr>
            </w:pPr>
            <w:r>
              <w:rPr>
                <w:rFonts w:ascii="Arial" w:hAnsi="Arial" w:eastAsia="Arial" w:cs="Arial"/>
                <w:color w:val="333333"/>
                <w:spacing w:val="-4"/>
                <w:sz w:val="18"/>
                <w:szCs w:val="18"/>
              </w:rPr>
              <w:t>580</w:t>
            </w:r>
          </w:p>
        </w:tc>
      </w:tr>
      <w:tr w14:paraId="525A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tcBorders>
            <w:vAlign w:val="top"/>
          </w:tcPr>
          <w:p w14:paraId="3812F401">
            <w:pPr>
              <w:rPr>
                <w:rFonts w:ascii="Arial"/>
                <w:sz w:val="21"/>
              </w:rPr>
            </w:pPr>
          </w:p>
        </w:tc>
        <w:tc>
          <w:tcPr>
            <w:tcW w:w="620" w:type="dxa"/>
            <w:vMerge w:val="continue"/>
            <w:tcBorders>
              <w:top w:val="nil"/>
            </w:tcBorders>
            <w:vAlign w:val="top"/>
          </w:tcPr>
          <w:p w14:paraId="2F4B8C9D">
            <w:pPr>
              <w:rPr>
                <w:rFonts w:ascii="Arial"/>
                <w:sz w:val="21"/>
              </w:rPr>
            </w:pPr>
          </w:p>
        </w:tc>
        <w:tc>
          <w:tcPr>
            <w:tcW w:w="2564" w:type="dxa"/>
            <w:vAlign w:val="top"/>
          </w:tcPr>
          <w:p w14:paraId="5B900A12">
            <w:pPr>
              <w:spacing w:before="168"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2D2D56ED">
            <w:pPr>
              <w:spacing w:before="170"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Align w:val="top"/>
          </w:tcPr>
          <w:p w14:paraId="1FC0A1E2">
            <w:pPr>
              <w:spacing w:before="170" w:line="196" w:lineRule="auto"/>
              <w:ind w:left="386"/>
              <w:rPr>
                <w:rFonts w:ascii="Arial" w:hAnsi="Arial" w:eastAsia="Arial" w:cs="Arial"/>
                <w:sz w:val="18"/>
                <w:szCs w:val="18"/>
              </w:rPr>
            </w:pPr>
            <w:r>
              <w:rPr>
                <w:rFonts w:ascii="Arial" w:hAnsi="Arial" w:eastAsia="Arial" w:cs="Arial"/>
                <w:color w:val="333333"/>
                <w:spacing w:val="-4"/>
                <w:sz w:val="18"/>
                <w:szCs w:val="18"/>
              </w:rPr>
              <w:t>310</w:t>
            </w:r>
          </w:p>
        </w:tc>
        <w:tc>
          <w:tcPr>
            <w:tcW w:w="990" w:type="dxa"/>
            <w:vAlign w:val="top"/>
          </w:tcPr>
          <w:p w14:paraId="54CDADE0">
            <w:pPr>
              <w:spacing w:line="257" w:lineRule="auto"/>
              <w:rPr>
                <w:rFonts w:ascii="Arial"/>
                <w:sz w:val="21"/>
              </w:rPr>
            </w:pPr>
          </w:p>
          <w:p w14:paraId="6546DFB5">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4C1D923B">
            <w:pPr>
              <w:spacing w:line="257" w:lineRule="auto"/>
              <w:rPr>
                <w:rFonts w:ascii="Arial"/>
                <w:sz w:val="21"/>
              </w:rPr>
            </w:pPr>
          </w:p>
          <w:p w14:paraId="23BC9A10">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BDEC479">
            <w:pPr>
              <w:spacing w:line="257" w:lineRule="auto"/>
              <w:rPr>
                <w:rFonts w:ascii="Arial"/>
                <w:sz w:val="21"/>
              </w:rPr>
            </w:pPr>
          </w:p>
          <w:p w14:paraId="3AAAFE73">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47D69FA5">
            <w:pPr>
              <w:spacing w:line="257" w:lineRule="auto"/>
              <w:rPr>
                <w:rFonts w:ascii="Arial"/>
                <w:sz w:val="21"/>
              </w:rPr>
            </w:pPr>
          </w:p>
          <w:p w14:paraId="08AB1A3C">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7736E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restart"/>
            <w:tcBorders>
              <w:bottom w:val="nil"/>
            </w:tcBorders>
            <w:vAlign w:val="top"/>
          </w:tcPr>
          <w:p w14:paraId="0AB17AAB">
            <w:pPr>
              <w:spacing w:line="269" w:lineRule="auto"/>
              <w:rPr>
                <w:rFonts w:ascii="Arial"/>
                <w:sz w:val="21"/>
              </w:rPr>
            </w:pPr>
          </w:p>
          <w:p w14:paraId="7CF056FA">
            <w:pPr>
              <w:spacing w:line="269" w:lineRule="auto"/>
              <w:rPr>
                <w:rFonts w:ascii="Arial"/>
                <w:sz w:val="21"/>
              </w:rPr>
            </w:pPr>
          </w:p>
          <w:p w14:paraId="3675026A">
            <w:pPr>
              <w:spacing w:line="270" w:lineRule="auto"/>
              <w:rPr>
                <w:rFonts w:ascii="Arial"/>
                <w:sz w:val="21"/>
              </w:rPr>
            </w:pPr>
          </w:p>
          <w:p w14:paraId="0A3D1108">
            <w:pPr>
              <w:spacing w:before="52" w:line="196" w:lineRule="auto"/>
              <w:ind w:left="212"/>
              <w:rPr>
                <w:rFonts w:ascii="Arial" w:hAnsi="Arial" w:eastAsia="Arial" w:cs="Arial"/>
                <w:sz w:val="18"/>
                <w:szCs w:val="18"/>
              </w:rPr>
            </w:pPr>
            <w:r>
              <w:rPr>
                <w:rFonts w:ascii="Arial" w:hAnsi="Arial" w:eastAsia="Arial" w:cs="Arial"/>
                <w:color w:val="333333"/>
                <w:sz w:val="18"/>
                <w:szCs w:val="18"/>
              </w:rPr>
              <w:t>4</w:t>
            </w:r>
          </w:p>
        </w:tc>
        <w:tc>
          <w:tcPr>
            <w:tcW w:w="620" w:type="dxa"/>
            <w:vMerge w:val="restart"/>
            <w:tcBorders>
              <w:bottom w:val="nil"/>
            </w:tcBorders>
            <w:vAlign w:val="top"/>
          </w:tcPr>
          <w:p w14:paraId="78DBB049">
            <w:pPr>
              <w:spacing w:line="268" w:lineRule="auto"/>
              <w:rPr>
                <w:rFonts w:ascii="Arial"/>
                <w:sz w:val="21"/>
              </w:rPr>
            </w:pPr>
          </w:p>
          <w:p w14:paraId="06FF02A4">
            <w:pPr>
              <w:spacing w:line="268" w:lineRule="auto"/>
              <w:rPr>
                <w:rFonts w:ascii="Arial"/>
                <w:sz w:val="21"/>
              </w:rPr>
            </w:pPr>
          </w:p>
          <w:p w14:paraId="3A62FBC9">
            <w:pPr>
              <w:spacing w:line="268" w:lineRule="auto"/>
              <w:rPr>
                <w:rFonts w:ascii="Arial"/>
                <w:sz w:val="21"/>
              </w:rPr>
            </w:pPr>
          </w:p>
          <w:p w14:paraId="4088676B">
            <w:pPr>
              <w:spacing w:before="59" w:line="223" w:lineRule="auto"/>
              <w:ind w:left="190"/>
              <w:rPr>
                <w:rFonts w:ascii="宋体" w:hAnsi="宋体" w:eastAsia="宋体" w:cs="宋体"/>
                <w:sz w:val="18"/>
                <w:szCs w:val="18"/>
              </w:rPr>
            </w:pPr>
            <w:r>
              <w:rPr>
                <w:rFonts w:ascii="宋体" w:hAnsi="宋体" w:eastAsia="宋体" w:cs="宋体"/>
                <w:color w:val="333333"/>
                <w:spacing w:val="-12"/>
                <w:sz w:val="18"/>
                <w:szCs w:val="18"/>
              </w:rPr>
              <w:t>山西</w:t>
            </w:r>
          </w:p>
        </w:tc>
        <w:tc>
          <w:tcPr>
            <w:tcW w:w="2564" w:type="dxa"/>
            <w:vAlign w:val="top"/>
          </w:tcPr>
          <w:p w14:paraId="7CA7D0E3">
            <w:pPr>
              <w:spacing w:before="167" w:line="219" w:lineRule="auto"/>
              <w:ind w:left="308"/>
              <w:rPr>
                <w:rFonts w:ascii="宋体" w:hAnsi="宋体" w:eastAsia="宋体" w:cs="宋体"/>
                <w:sz w:val="18"/>
                <w:szCs w:val="18"/>
              </w:rPr>
            </w:pPr>
            <w:r>
              <w:rPr>
                <w:rFonts w:ascii="宋体" w:hAnsi="宋体" w:eastAsia="宋体" w:cs="宋体"/>
                <w:color w:val="333333"/>
                <w:spacing w:val="-3"/>
                <w:sz w:val="18"/>
                <w:szCs w:val="18"/>
              </w:rPr>
              <w:t>太原市、大同市、晋城市</w:t>
            </w:r>
          </w:p>
        </w:tc>
        <w:tc>
          <w:tcPr>
            <w:tcW w:w="2564" w:type="dxa"/>
            <w:vAlign w:val="top"/>
          </w:tcPr>
          <w:p w14:paraId="34CD53FD">
            <w:pPr>
              <w:spacing w:before="171"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519351E8">
            <w:pPr>
              <w:spacing w:before="171"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3FDD947F">
            <w:pPr>
              <w:spacing w:line="258" w:lineRule="auto"/>
              <w:rPr>
                <w:rFonts w:ascii="Arial"/>
                <w:sz w:val="21"/>
              </w:rPr>
            </w:pPr>
          </w:p>
          <w:p w14:paraId="6E7F9C85">
            <w:pPr>
              <w:spacing w:before="52"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32D0D6F5">
            <w:pPr>
              <w:spacing w:line="258" w:lineRule="auto"/>
              <w:rPr>
                <w:rFonts w:ascii="Arial"/>
                <w:sz w:val="21"/>
              </w:rPr>
            </w:pPr>
          </w:p>
          <w:p w14:paraId="0432BD52">
            <w:pPr>
              <w:spacing w:before="52"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14977CA7">
            <w:pPr>
              <w:spacing w:line="258" w:lineRule="auto"/>
              <w:rPr>
                <w:rFonts w:ascii="Arial"/>
                <w:sz w:val="21"/>
              </w:rPr>
            </w:pPr>
          </w:p>
          <w:p w14:paraId="2BA1232A">
            <w:pPr>
              <w:spacing w:before="52"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2B77248D">
            <w:pPr>
              <w:spacing w:line="258" w:lineRule="auto"/>
              <w:rPr>
                <w:rFonts w:ascii="Arial"/>
                <w:sz w:val="21"/>
              </w:rPr>
            </w:pPr>
          </w:p>
          <w:p w14:paraId="5FC7A6E3">
            <w:pPr>
              <w:spacing w:before="52"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90F4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1E720F83">
            <w:pPr>
              <w:rPr>
                <w:rFonts w:ascii="Arial"/>
                <w:sz w:val="21"/>
              </w:rPr>
            </w:pPr>
          </w:p>
        </w:tc>
        <w:tc>
          <w:tcPr>
            <w:tcW w:w="620" w:type="dxa"/>
            <w:vMerge w:val="continue"/>
            <w:tcBorders>
              <w:top w:val="nil"/>
              <w:bottom w:val="nil"/>
            </w:tcBorders>
            <w:vAlign w:val="top"/>
          </w:tcPr>
          <w:p w14:paraId="08E3A412">
            <w:pPr>
              <w:rPr>
                <w:rFonts w:ascii="Arial"/>
                <w:sz w:val="21"/>
              </w:rPr>
            </w:pPr>
          </w:p>
        </w:tc>
        <w:tc>
          <w:tcPr>
            <w:tcW w:w="2564" w:type="dxa"/>
            <w:vAlign w:val="top"/>
          </w:tcPr>
          <w:p w14:paraId="400A2A80">
            <w:pPr>
              <w:spacing w:before="171" w:line="219" w:lineRule="auto"/>
              <w:ind w:left="1059"/>
              <w:rPr>
                <w:rFonts w:ascii="宋体" w:hAnsi="宋体" w:eastAsia="宋体" w:cs="宋体"/>
                <w:sz w:val="18"/>
                <w:szCs w:val="18"/>
              </w:rPr>
            </w:pPr>
            <w:r>
              <w:rPr>
                <w:rFonts w:ascii="宋体" w:hAnsi="宋体" w:eastAsia="宋体" w:cs="宋体"/>
                <w:color w:val="333333"/>
                <w:spacing w:val="-9"/>
                <w:sz w:val="18"/>
                <w:szCs w:val="18"/>
              </w:rPr>
              <w:t>临汾市</w:t>
            </w:r>
          </w:p>
        </w:tc>
        <w:tc>
          <w:tcPr>
            <w:tcW w:w="2564" w:type="dxa"/>
            <w:vAlign w:val="top"/>
          </w:tcPr>
          <w:p w14:paraId="3F1DAEBA">
            <w:pPr>
              <w:spacing w:before="172"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6F81B33B">
            <w:pPr>
              <w:spacing w:before="172" w:line="196" w:lineRule="auto"/>
              <w:ind w:left="386"/>
              <w:rPr>
                <w:rFonts w:ascii="Arial" w:hAnsi="Arial" w:eastAsia="Arial" w:cs="Arial"/>
                <w:sz w:val="18"/>
                <w:szCs w:val="18"/>
              </w:rPr>
            </w:pPr>
            <w:r>
              <w:rPr>
                <w:rFonts w:ascii="Arial" w:hAnsi="Arial" w:eastAsia="Arial" w:cs="Arial"/>
                <w:color w:val="333333"/>
                <w:spacing w:val="-4"/>
                <w:sz w:val="18"/>
                <w:szCs w:val="18"/>
              </w:rPr>
              <w:t>330</w:t>
            </w:r>
          </w:p>
        </w:tc>
        <w:tc>
          <w:tcPr>
            <w:tcW w:w="990" w:type="dxa"/>
            <w:vAlign w:val="top"/>
          </w:tcPr>
          <w:p w14:paraId="397DDF36">
            <w:pPr>
              <w:spacing w:line="257" w:lineRule="auto"/>
              <w:rPr>
                <w:rFonts w:ascii="Arial"/>
                <w:sz w:val="21"/>
              </w:rPr>
            </w:pPr>
          </w:p>
          <w:p w14:paraId="6C174DAA">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5FE5C702">
            <w:pPr>
              <w:spacing w:line="257" w:lineRule="auto"/>
              <w:rPr>
                <w:rFonts w:ascii="Arial"/>
                <w:sz w:val="21"/>
              </w:rPr>
            </w:pPr>
          </w:p>
          <w:p w14:paraId="79C4653E">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039B4A00">
            <w:pPr>
              <w:spacing w:line="257" w:lineRule="auto"/>
              <w:rPr>
                <w:rFonts w:ascii="Arial"/>
                <w:sz w:val="21"/>
              </w:rPr>
            </w:pPr>
          </w:p>
          <w:p w14:paraId="57B44174">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2EA87CE3">
            <w:pPr>
              <w:spacing w:line="257" w:lineRule="auto"/>
              <w:rPr>
                <w:rFonts w:ascii="Arial"/>
                <w:sz w:val="21"/>
              </w:rPr>
            </w:pPr>
          </w:p>
          <w:p w14:paraId="3672DA72">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7FD6F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55D61702">
            <w:pPr>
              <w:rPr>
                <w:rFonts w:ascii="Arial"/>
                <w:sz w:val="21"/>
              </w:rPr>
            </w:pPr>
          </w:p>
        </w:tc>
        <w:tc>
          <w:tcPr>
            <w:tcW w:w="620" w:type="dxa"/>
            <w:vMerge w:val="continue"/>
            <w:tcBorders>
              <w:top w:val="nil"/>
              <w:bottom w:val="nil"/>
            </w:tcBorders>
            <w:vAlign w:val="top"/>
          </w:tcPr>
          <w:p w14:paraId="3850190C">
            <w:pPr>
              <w:rPr>
                <w:rFonts w:ascii="Arial"/>
                <w:sz w:val="21"/>
              </w:rPr>
            </w:pPr>
          </w:p>
        </w:tc>
        <w:tc>
          <w:tcPr>
            <w:tcW w:w="2564" w:type="dxa"/>
            <w:vAlign w:val="top"/>
          </w:tcPr>
          <w:p w14:paraId="32D80EBD">
            <w:pPr>
              <w:spacing w:before="172" w:line="219" w:lineRule="auto"/>
              <w:ind w:left="350"/>
              <w:rPr>
                <w:rFonts w:ascii="宋体" w:hAnsi="宋体" w:eastAsia="宋体" w:cs="宋体"/>
                <w:sz w:val="18"/>
                <w:szCs w:val="18"/>
              </w:rPr>
            </w:pPr>
            <w:r>
              <w:rPr>
                <w:rFonts w:ascii="宋体" w:hAnsi="宋体" w:eastAsia="宋体" w:cs="宋体"/>
                <w:color w:val="333333"/>
                <w:spacing w:val="-6"/>
                <w:sz w:val="18"/>
                <w:szCs w:val="18"/>
              </w:rPr>
              <w:t>阳泉市、长治市、晋中市</w:t>
            </w:r>
          </w:p>
        </w:tc>
        <w:tc>
          <w:tcPr>
            <w:tcW w:w="2564" w:type="dxa"/>
            <w:vAlign w:val="top"/>
          </w:tcPr>
          <w:p w14:paraId="12AAC117">
            <w:pPr>
              <w:spacing w:before="171"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6B85BCA0">
            <w:pPr>
              <w:spacing w:before="171" w:line="196" w:lineRule="auto"/>
              <w:ind w:left="386"/>
              <w:rPr>
                <w:rFonts w:ascii="Arial" w:hAnsi="Arial" w:eastAsia="Arial" w:cs="Arial"/>
                <w:sz w:val="18"/>
                <w:szCs w:val="18"/>
              </w:rPr>
            </w:pPr>
            <w:r>
              <w:rPr>
                <w:rFonts w:ascii="Arial" w:hAnsi="Arial" w:eastAsia="Arial" w:cs="Arial"/>
                <w:color w:val="333333"/>
                <w:spacing w:val="-4"/>
                <w:sz w:val="18"/>
                <w:szCs w:val="18"/>
              </w:rPr>
              <w:t>310</w:t>
            </w:r>
          </w:p>
        </w:tc>
        <w:tc>
          <w:tcPr>
            <w:tcW w:w="990" w:type="dxa"/>
            <w:vAlign w:val="top"/>
          </w:tcPr>
          <w:p w14:paraId="06D721F5">
            <w:pPr>
              <w:spacing w:line="258" w:lineRule="auto"/>
              <w:rPr>
                <w:rFonts w:ascii="Arial"/>
                <w:sz w:val="21"/>
              </w:rPr>
            </w:pPr>
          </w:p>
          <w:p w14:paraId="7B358B03">
            <w:pPr>
              <w:spacing w:before="52"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06207FD">
            <w:pPr>
              <w:spacing w:line="258" w:lineRule="auto"/>
              <w:rPr>
                <w:rFonts w:ascii="Arial"/>
                <w:sz w:val="21"/>
              </w:rPr>
            </w:pPr>
          </w:p>
          <w:p w14:paraId="73D3F509">
            <w:pPr>
              <w:spacing w:before="52"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20C253D0">
            <w:pPr>
              <w:spacing w:line="258" w:lineRule="auto"/>
              <w:rPr>
                <w:rFonts w:ascii="Arial"/>
                <w:sz w:val="21"/>
              </w:rPr>
            </w:pPr>
          </w:p>
          <w:p w14:paraId="250205C8">
            <w:pPr>
              <w:spacing w:before="52"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57326EC1">
            <w:pPr>
              <w:spacing w:line="258" w:lineRule="auto"/>
              <w:rPr>
                <w:rFonts w:ascii="Arial"/>
                <w:sz w:val="21"/>
              </w:rPr>
            </w:pPr>
          </w:p>
          <w:p w14:paraId="45521B21">
            <w:pPr>
              <w:spacing w:before="52"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AF23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13D9F5D6">
            <w:pPr>
              <w:rPr>
                <w:rFonts w:ascii="Arial"/>
                <w:sz w:val="21"/>
              </w:rPr>
            </w:pPr>
          </w:p>
        </w:tc>
        <w:tc>
          <w:tcPr>
            <w:tcW w:w="620" w:type="dxa"/>
            <w:vMerge w:val="continue"/>
            <w:tcBorders>
              <w:top w:val="nil"/>
            </w:tcBorders>
            <w:vAlign w:val="top"/>
          </w:tcPr>
          <w:p w14:paraId="32F93011">
            <w:pPr>
              <w:rPr>
                <w:rFonts w:ascii="Arial"/>
                <w:sz w:val="21"/>
              </w:rPr>
            </w:pPr>
          </w:p>
        </w:tc>
        <w:tc>
          <w:tcPr>
            <w:tcW w:w="2564" w:type="dxa"/>
            <w:vAlign w:val="top"/>
          </w:tcPr>
          <w:p w14:paraId="50CBBB34">
            <w:pPr>
              <w:spacing w:before="173"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4E0638FC">
            <w:pPr>
              <w:spacing w:before="172" w:line="196" w:lineRule="auto"/>
              <w:ind w:left="1137"/>
              <w:rPr>
                <w:rFonts w:ascii="Arial" w:hAnsi="Arial" w:eastAsia="Arial" w:cs="Arial"/>
                <w:sz w:val="18"/>
                <w:szCs w:val="18"/>
              </w:rPr>
            </w:pPr>
            <w:r>
              <w:rPr>
                <w:rFonts w:ascii="Arial" w:hAnsi="Arial" w:eastAsia="Arial" w:cs="Arial"/>
                <w:color w:val="333333"/>
                <w:spacing w:val="-1"/>
                <w:sz w:val="18"/>
                <w:szCs w:val="18"/>
              </w:rPr>
              <w:t>400</w:t>
            </w:r>
          </w:p>
        </w:tc>
        <w:tc>
          <w:tcPr>
            <w:tcW w:w="1021" w:type="dxa"/>
            <w:vAlign w:val="top"/>
          </w:tcPr>
          <w:p w14:paraId="5C3344C4">
            <w:pPr>
              <w:spacing w:before="172" w:line="196" w:lineRule="auto"/>
              <w:ind w:left="381"/>
              <w:rPr>
                <w:rFonts w:ascii="Arial" w:hAnsi="Arial" w:eastAsia="Arial" w:cs="Arial"/>
                <w:sz w:val="18"/>
                <w:szCs w:val="18"/>
              </w:rPr>
            </w:pPr>
            <w:r>
              <w:rPr>
                <w:rFonts w:ascii="Arial" w:hAnsi="Arial" w:eastAsia="Arial" w:cs="Arial"/>
                <w:color w:val="333333"/>
                <w:spacing w:val="-3"/>
                <w:sz w:val="18"/>
                <w:szCs w:val="18"/>
              </w:rPr>
              <w:t>240</w:t>
            </w:r>
          </w:p>
        </w:tc>
        <w:tc>
          <w:tcPr>
            <w:tcW w:w="990" w:type="dxa"/>
            <w:vAlign w:val="top"/>
          </w:tcPr>
          <w:p w14:paraId="57F22F65">
            <w:pPr>
              <w:spacing w:line="262" w:lineRule="auto"/>
              <w:rPr>
                <w:rFonts w:ascii="Arial"/>
                <w:sz w:val="21"/>
              </w:rPr>
            </w:pPr>
          </w:p>
          <w:p w14:paraId="30893C89">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48076C9C">
            <w:pPr>
              <w:spacing w:line="262" w:lineRule="auto"/>
              <w:rPr>
                <w:rFonts w:ascii="Arial"/>
                <w:sz w:val="21"/>
              </w:rPr>
            </w:pPr>
          </w:p>
          <w:p w14:paraId="594ED459">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5E3E1FE9">
            <w:pPr>
              <w:spacing w:line="262" w:lineRule="auto"/>
              <w:rPr>
                <w:rFonts w:ascii="Arial"/>
                <w:sz w:val="21"/>
              </w:rPr>
            </w:pPr>
          </w:p>
          <w:p w14:paraId="26F405E1">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0AB12E72">
            <w:pPr>
              <w:spacing w:line="262" w:lineRule="auto"/>
              <w:rPr>
                <w:rFonts w:ascii="Arial"/>
                <w:sz w:val="21"/>
              </w:rPr>
            </w:pPr>
          </w:p>
          <w:p w14:paraId="5638A8CA">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4841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restart"/>
            <w:tcBorders>
              <w:bottom w:val="nil"/>
            </w:tcBorders>
            <w:vAlign w:val="top"/>
          </w:tcPr>
          <w:p w14:paraId="1836A25D">
            <w:pPr>
              <w:spacing w:line="264" w:lineRule="auto"/>
              <w:rPr>
                <w:rFonts w:ascii="Arial"/>
                <w:sz w:val="21"/>
              </w:rPr>
            </w:pPr>
          </w:p>
          <w:p w14:paraId="6BD05CAF">
            <w:pPr>
              <w:spacing w:line="265" w:lineRule="auto"/>
              <w:rPr>
                <w:rFonts w:ascii="Arial"/>
                <w:sz w:val="21"/>
              </w:rPr>
            </w:pPr>
          </w:p>
          <w:p w14:paraId="1FED7ADA">
            <w:pPr>
              <w:spacing w:line="265" w:lineRule="auto"/>
              <w:rPr>
                <w:rFonts w:ascii="Arial"/>
                <w:sz w:val="21"/>
              </w:rPr>
            </w:pPr>
          </w:p>
          <w:p w14:paraId="4C615735">
            <w:pPr>
              <w:spacing w:line="265" w:lineRule="auto"/>
              <w:rPr>
                <w:rFonts w:ascii="Arial"/>
                <w:sz w:val="21"/>
              </w:rPr>
            </w:pPr>
          </w:p>
          <w:p w14:paraId="250C887F">
            <w:pPr>
              <w:spacing w:before="52" w:line="194" w:lineRule="auto"/>
              <w:ind w:left="227"/>
              <w:rPr>
                <w:rFonts w:ascii="Arial" w:hAnsi="Arial" w:eastAsia="Arial" w:cs="Arial"/>
                <w:sz w:val="18"/>
                <w:szCs w:val="18"/>
              </w:rPr>
            </w:pPr>
            <w:r>
              <w:rPr>
                <w:rFonts w:ascii="Arial" w:hAnsi="Arial" w:eastAsia="Arial" w:cs="Arial"/>
                <w:color w:val="333333"/>
                <w:sz w:val="18"/>
                <w:szCs w:val="18"/>
              </w:rPr>
              <w:t>5</w:t>
            </w:r>
          </w:p>
        </w:tc>
        <w:tc>
          <w:tcPr>
            <w:tcW w:w="620" w:type="dxa"/>
            <w:vMerge w:val="restart"/>
            <w:tcBorders>
              <w:bottom w:val="nil"/>
            </w:tcBorders>
            <w:vAlign w:val="top"/>
          </w:tcPr>
          <w:p w14:paraId="269C09D1">
            <w:pPr>
              <w:spacing w:line="261" w:lineRule="auto"/>
              <w:rPr>
                <w:rFonts w:ascii="Arial"/>
                <w:sz w:val="21"/>
              </w:rPr>
            </w:pPr>
          </w:p>
          <w:p w14:paraId="746CFF92">
            <w:pPr>
              <w:spacing w:line="261" w:lineRule="auto"/>
              <w:rPr>
                <w:rFonts w:ascii="Arial"/>
                <w:sz w:val="21"/>
              </w:rPr>
            </w:pPr>
          </w:p>
          <w:p w14:paraId="50A06E8E">
            <w:pPr>
              <w:spacing w:line="261" w:lineRule="auto"/>
              <w:rPr>
                <w:rFonts w:ascii="Arial"/>
                <w:sz w:val="21"/>
              </w:rPr>
            </w:pPr>
          </w:p>
          <w:p w14:paraId="3587623E">
            <w:pPr>
              <w:spacing w:line="261" w:lineRule="auto"/>
              <w:rPr>
                <w:rFonts w:ascii="Arial"/>
                <w:sz w:val="21"/>
              </w:rPr>
            </w:pPr>
          </w:p>
          <w:p w14:paraId="776EB979">
            <w:pPr>
              <w:spacing w:before="59" w:line="219" w:lineRule="auto"/>
              <w:jc w:val="right"/>
              <w:rPr>
                <w:rFonts w:ascii="宋体" w:hAnsi="宋体" w:eastAsia="宋体" w:cs="宋体"/>
                <w:sz w:val="18"/>
                <w:szCs w:val="18"/>
              </w:rPr>
            </w:pPr>
            <w:r>
              <w:rPr>
                <w:rFonts w:ascii="宋体" w:hAnsi="宋体" w:eastAsia="宋体" w:cs="宋体"/>
                <w:color w:val="333333"/>
                <w:spacing w:val="-23"/>
                <w:sz w:val="18"/>
                <w:szCs w:val="18"/>
              </w:rPr>
              <w:t>内蒙</w:t>
            </w:r>
            <w:r>
              <w:rPr>
                <w:rFonts w:ascii="宋体" w:hAnsi="宋体" w:eastAsia="宋体" w:cs="宋体"/>
                <w:color w:val="333333"/>
                <w:spacing w:val="-11"/>
                <w:sz w:val="18"/>
                <w:szCs w:val="18"/>
              </w:rPr>
              <w:t>古</w:t>
            </w:r>
          </w:p>
        </w:tc>
        <w:tc>
          <w:tcPr>
            <w:tcW w:w="2564" w:type="dxa"/>
            <w:vAlign w:val="top"/>
          </w:tcPr>
          <w:p w14:paraId="5905C043">
            <w:pPr>
              <w:spacing w:before="173" w:line="219" w:lineRule="auto"/>
              <w:ind w:left="879"/>
              <w:rPr>
                <w:rFonts w:ascii="宋体" w:hAnsi="宋体" w:eastAsia="宋体" w:cs="宋体"/>
                <w:sz w:val="18"/>
                <w:szCs w:val="18"/>
              </w:rPr>
            </w:pPr>
            <w:r>
              <w:rPr>
                <w:rFonts w:ascii="宋体" w:hAnsi="宋体" w:eastAsia="宋体" w:cs="宋体"/>
                <w:color w:val="333333"/>
                <w:spacing w:val="-8"/>
                <w:sz w:val="18"/>
                <w:szCs w:val="18"/>
              </w:rPr>
              <w:t>呼和浩特市</w:t>
            </w:r>
          </w:p>
        </w:tc>
        <w:tc>
          <w:tcPr>
            <w:tcW w:w="2564" w:type="dxa"/>
            <w:vAlign w:val="top"/>
          </w:tcPr>
          <w:p w14:paraId="23B89774">
            <w:pPr>
              <w:spacing w:before="175" w:line="196" w:lineRule="auto"/>
              <w:ind w:left="1137"/>
              <w:rPr>
                <w:rFonts w:ascii="Arial" w:hAnsi="Arial" w:eastAsia="Arial" w:cs="Arial"/>
                <w:sz w:val="18"/>
                <w:szCs w:val="18"/>
              </w:rPr>
            </w:pPr>
            <w:r>
              <w:rPr>
                <w:rFonts w:ascii="Arial" w:hAnsi="Arial" w:eastAsia="Arial" w:cs="Arial"/>
                <w:color w:val="333333"/>
                <w:spacing w:val="-1"/>
                <w:sz w:val="18"/>
                <w:szCs w:val="18"/>
              </w:rPr>
              <w:t>460</w:t>
            </w:r>
          </w:p>
        </w:tc>
        <w:tc>
          <w:tcPr>
            <w:tcW w:w="1021" w:type="dxa"/>
            <w:vAlign w:val="top"/>
          </w:tcPr>
          <w:p w14:paraId="1FF4B7BF">
            <w:pPr>
              <w:spacing w:before="175"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0453B4EE">
            <w:pPr>
              <w:spacing w:line="262" w:lineRule="auto"/>
              <w:rPr>
                <w:rFonts w:ascii="Arial"/>
                <w:sz w:val="21"/>
              </w:rPr>
            </w:pPr>
          </w:p>
          <w:p w14:paraId="3FCCE230">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2DB0F12D">
            <w:pPr>
              <w:spacing w:line="262" w:lineRule="auto"/>
              <w:rPr>
                <w:rFonts w:ascii="Arial"/>
                <w:sz w:val="21"/>
              </w:rPr>
            </w:pPr>
          </w:p>
          <w:p w14:paraId="70E1EF53">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0D6966FC">
            <w:pPr>
              <w:spacing w:line="262" w:lineRule="auto"/>
              <w:rPr>
                <w:rFonts w:ascii="Arial"/>
                <w:sz w:val="21"/>
              </w:rPr>
            </w:pPr>
          </w:p>
          <w:p w14:paraId="663B3604">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15532C97">
            <w:pPr>
              <w:spacing w:line="262" w:lineRule="auto"/>
              <w:rPr>
                <w:rFonts w:ascii="Arial"/>
                <w:sz w:val="21"/>
              </w:rPr>
            </w:pPr>
          </w:p>
          <w:p w14:paraId="28E97C52">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4AD0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3" w:hRule="atLeast"/>
        </w:trPr>
        <w:tc>
          <w:tcPr>
            <w:tcW w:w="513" w:type="dxa"/>
            <w:vMerge w:val="continue"/>
            <w:tcBorders>
              <w:top w:val="nil"/>
              <w:bottom w:val="nil"/>
            </w:tcBorders>
            <w:vAlign w:val="top"/>
          </w:tcPr>
          <w:p w14:paraId="7065E36A">
            <w:pPr>
              <w:rPr>
                <w:rFonts w:ascii="Arial"/>
                <w:sz w:val="21"/>
              </w:rPr>
            </w:pPr>
          </w:p>
        </w:tc>
        <w:tc>
          <w:tcPr>
            <w:tcW w:w="620" w:type="dxa"/>
            <w:vMerge w:val="continue"/>
            <w:tcBorders>
              <w:top w:val="nil"/>
              <w:bottom w:val="nil"/>
            </w:tcBorders>
            <w:vAlign w:val="top"/>
          </w:tcPr>
          <w:p w14:paraId="03BAC70E">
            <w:pPr>
              <w:rPr>
                <w:rFonts w:ascii="Arial"/>
                <w:sz w:val="21"/>
              </w:rPr>
            </w:pPr>
          </w:p>
        </w:tc>
        <w:tc>
          <w:tcPr>
            <w:tcW w:w="2564" w:type="dxa"/>
            <w:vMerge w:val="restart"/>
            <w:tcBorders>
              <w:bottom w:val="nil"/>
            </w:tcBorders>
            <w:vAlign w:val="top"/>
          </w:tcPr>
          <w:p w14:paraId="5A2198B2">
            <w:pPr>
              <w:spacing w:line="271" w:lineRule="auto"/>
              <w:rPr>
                <w:rFonts w:ascii="Arial"/>
                <w:sz w:val="21"/>
              </w:rPr>
            </w:pPr>
          </w:p>
          <w:p w14:paraId="673840A9">
            <w:pPr>
              <w:spacing w:line="271" w:lineRule="auto"/>
              <w:rPr>
                <w:rFonts w:ascii="Arial"/>
                <w:sz w:val="21"/>
              </w:rPr>
            </w:pPr>
          </w:p>
          <w:p w14:paraId="53BFC89C">
            <w:pPr>
              <w:spacing w:line="272" w:lineRule="auto"/>
              <w:rPr>
                <w:rFonts w:ascii="Arial"/>
                <w:sz w:val="21"/>
              </w:rPr>
            </w:pPr>
          </w:p>
          <w:p w14:paraId="04773CC6">
            <w:pPr>
              <w:spacing w:before="59"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Merge w:val="restart"/>
            <w:tcBorders>
              <w:bottom w:val="nil"/>
            </w:tcBorders>
            <w:vAlign w:val="top"/>
          </w:tcPr>
          <w:p w14:paraId="3A90A0CE">
            <w:pPr>
              <w:spacing w:line="275" w:lineRule="auto"/>
              <w:rPr>
                <w:rFonts w:ascii="Arial"/>
                <w:sz w:val="21"/>
              </w:rPr>
            </w:pPr>
          </w:p>
          <w:p w14:paraId="10DED46F">
            <w:pPr>
              <w:spacing w:line="276" w:lineRule="auto"/>
              <w:rPr>
                <w:rFonts w:ascii="Arial"/>
                <w:sz w:val="21"/>
              </w:rPr>
            </w:pPr>
          </w:p>
          <w:p w14:paraId="6C30F41A">
            <w:pPr>
              <w:spacing w:line="276" w:lineRule="auto"/>
              <w:rPr>
                <w:rFonts w:ascii="Arial"/>
                <w:sz w:val="21"/>
              </w:rPr>
            </w:pPr>
          </w:p>
          <w:p w14:paraId="46092C06">
            <w:pPr>
              <w:spacing w:before="52" w:line="196" w:lineRule="auto"/>
              <w:ind w:left="1137"/>
              <w:rPr>
                <w:rFonts w:ascii="Arial" w:hAnsi="Arial" w:eastAsia="Arial" w:cs="Arial"/>
                <w:sz w:val="18"/>
                <w:szCs w:val="18"/>
              </w:rPr>
            </w:pPr>
            <w:r>
              <w:rPr>
                <w:rFonts w:ascii="Arial" w:hAnsi="Arial" w:eastAsia="Arial" w:cs="Arial"/>
                <w:color w:val="333333"/>
                <w:spacing w:val="-1"/>
                <w:sz w:val="18"/>
                <w:szCs w:val="18"/>
              </w:rPr>
              <w:t>460</w:t>
            </w:r>
          </w:p>
        </w:tc>
        <w:tc>
          <w:tcPr>
            <w:tcW w:w="1021" w:type="dxa"/>
            <w:vMerge w:val="restart"/>
            <w:tcBorders>
              <w:bottom w:val="nil"/>
            </w:tcBorders>
            <w:vAlign w:val="top"/>
          </w:tcPr>
          <w:p w14:paraId="5969C4C8">
            <w:pPr>
              <w:spacing w:line="275" w:lineRule="auto"/>
              <w:rPr>
                <w:rFonts w:ascii="Arial"/>
                <w:sz w:val="21"/>
              </w:rPr>
            </w:pPr>
          </w:p>
          <w:p w14:paraId="0F1AC342">
            <w:pPr>
              <w:spacing w:line="276" w:lineRule="auto"/>
              <w:rPr>
                <w:rFonts w:ascii="Arial"/>
                <w:sz w:val="21"/>
              </w:rPr>
            </w:pPr>
          </w:p>
          <w:p w14:paraId="181CA313">
            <w:pPr>
              <w:spacing w:line="276" w:lineRule="auto"/>
              <w:rPr>
                <w:rFonts w:ascii="Arial"/>
                <w:sz w:val="21"/>
              </w:rPr>
            </w:pPr>
          </w:p>
          <w:p w14:paraId="6B7334B2">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320</w:t>
            </w:r>
          </w:p>
        </w:tc>
        <w:tc>
          <w:tcPr>
            <w:tcW w:w="990" w:type="dxa"/>
            <w:vAlign w:val="top"/>
          </w:tcPr>
          <w:p w14:paraId="24E6749F">
            <w:pPr>
              <w:spacing w:before="158" w:line="219" w:lineRule="auto"/>
              <w:ind w:left="79"/>
              <w:rPr>
                <w:rFonts w:ascii="宋体" w:hAnsi="宋体" w:eastAsia="宋体" w:cs="宋体"/>
                <w:sz w:val="18"/>
                <w:szCs w:val="18"/>
              </w:rPr>
            </w:pPr>
            <w:r>
              <w:rPr>
                <w:rFonts w:ascii="宋体" w:hAnsi="宋体" w:eastAsia="宋体" w:cs="宋体"/>
                <w:color w:val="333333"/>
                <w:spacing w:val="-6"/>
                <w:sz w:val="18"/>
                <w:szCs w:val="18"/>
              </w:rPr>
              <w:t>海拉尔市、</w:t>
            </w:r>
          </w:p>
          <w:p w14:paraId="0E96D50E">
            <w:pPr>
              <w:spacing w:before="10" w:line="220" w:lineRule="auto"/>
              <w:ind w:left="250" w:right="50" w:hanging="170"/>
              <w:rPr>
                <w:rFonts w:ascii="宋体" w:hAnsi="宋体" w:eastAsia="宋体" w:cs="宋体"/>
                <w:sz w:val="18"/>
                <w:szCs w:val="18"/>
              </w:rPr>
            </w:pPr>
            <w:r>
              <w:rPr>
                <w:rFonts w:ascii="宋体" w:hAnsi="宋体" w:eastAsia="宋体" w:cs="宋体"/>
                <w:color w:val="333333"/>
                <w:spacing w:val="-10"/>
                <w:sz w:val="18"/>
                <w:szCs w:val="18"/>
              </w:rPr>
              <w:t>满洲里市、</w:t>
            </w:r>
            <w:r>
              <w:rPr>
                <w:rFonts w:ascii="宋体" w:hAnsi="宋体" w:eastAsia="宋体" w:cs="宋体"/>
                <w:color w:val="333333"/>
                <w:spacing w:val="3"/>
                <w:sz w:val="18"/>
                <w:szCs w:val="18"/>
              </w:rPr>
              <w:t xml:space="preserve"> </w:t>
            </w:r>
            <w:r>
              <w:rPr>
                <w:rFonts w:ascii="宋体" w:hAnsi="宋体" w:eastAsia="宋体" w:cs="宋体"/>
                <w:color w:val="333333"/>
                <w:spacing w:val="-10"/>
                <w:sz w:val="18"/>
                <w:szCs w:val="18"/>
              </w:rPr>
              <w:t>阿尔山市</w:t>
            </w:r>
          </w:p>
        </w:tc>
        <w:tc>
          <w:tcPr>
            <w:tcW w:w="991" w:type="dxa"/>
            <w:vAlign w:val="top"/>
          </w:tcPr>
          <w:p w14:paraId="48D4EE99">
            <w:pPr>
              <w:spacing w:line="313" w:lineRule="auto"/>
              <w:rPr>
                <w:rFonts w:ascii="Arial"/>
                <w:sz w:val="21"/>
              </w:rPr>
            </w:pPr>
          </w:p>
          <w:p w14:paraId="754341E4">
            <w:pPr>
              <w:spacing w:before="59" w:line="219" w:lineRule="auto"/>
              <w:ind w:left="315"/>
              <w:rPr>
                <w:rFonts w:ascii="宋体" w:hAnsi="宋体" w:eastAsia="宋体" w:cs="宋体"/>
                <w:sz w:val="18"/>
                <w:szCs w:val="18"/>
              </w:rPr>
            </w:pPr>
            <w:r>
              <w:rPr>
                <w:rFonts w:ascii="Arial" w:hAnsi="Arial" w:eastAsia="Arial" w:cs="Arial"/>
                <w:color w:val="333333"/>
                <w:spacing w:val="-4"/>
                <w:sz w:val="18"/>
                <w:szCs w:val="18"/>
              </w:rPr>
              <w:t>7-9</w:t>
            </w:r>
            <w:r>
              <w:rPr>
                <w:rFonts w:ascii="宋体" w:hAnsi="宋体" w:eastAsia="宋体" w:cs="宋体"/>
                <w:color w:val="333333"/>
                <w:spacing w:val="-4"/>
                <w:sz w:val="18"/>
                <w:szCs w:val="18"/>
              </w:rPr>
              <w:t>月</w:t>
            </w:r>
          </w:p>
        </w:tc>
        <w:tc>
          <w:tcPr>
            <w:tcW w:w="990" w:type="dxa"/>
            <w:vAlign w:val="top"/>
          </w:tcPr>
          <w:p w14:paraId="70129AC5">
            <w:pPr>
              <w:spacing w:line="324" w:lineRule="auto"/>
              <w:rPr>
                <w:rFonts w:ascii="Arial"/>
                <w:sz w:val="21"/>
              </w:rPr>
            </w:pPr>
          </w:p>
          <w:p w14:paraId="676A4ACD">
            <w:pPr>
              <w:spacing w:before="52" w:line="196" w:lineRule="auto"/>
              <w:ind w:left="381"/>
              <w:rPr>
                <w:rFonts w:ascii="Arial" w:hAnsi="Arial" w:eastAsia="Arial" w:cs="Arial"/>
                <w:sz w:val="18"/>
                <w:szCs w:val="18"/>
              </w:rPr>
            </w:pPr>
            <w:r>
              <w:rPr>
                <w:rFonts w:ascii="Arial" w:hAnsi="Arial" w:eastAsia="Arial" w:cs="Arial"/>
                <w:color w:val="333333"/>
                <w:spacing w:val="-3"/>
                <w:sz w:val="18"/>
                <w:szCs w:val="18"/>
              </w:rPr>
              <w:t>690</w:t>
            </w:r>
          </w:p>
        </w:tc>
        <w:tc>
          <w:tcPr>
            <w:tcW w:w="1012" w:type="dxa"/>
            <w:vAlign w:val="top"/>
          </w:tcPr>
          <w:p w14:paraId="6628FEBF">
            <w:pPr>
              <w:spacing w:line="324" w:lineRule="auto"/>
              <w:rPr>
                <w:rFonts w:ascii="Arial"/>
                <w:sz w:val="21"/>
              </w:rPr>
            </w:pPr>
          </w:p>
          <w:p w14:paraId="076171F9">
            <w:pPr>
              <w:spacing w:before="52" w:line="196" w:lineRule="auto"/>
              <w:ind w:left="373"/>
              <w:rPr>
                <w:rFonts w:ascii="Arial" w:hAnsi="Arial" w:eastAsia="Arial" w:cs="Arial"/>
                <w:sz w:val="18"/>
                <w:szCs w:val="18"/>
              </w:rPr>
            </w:pPr>
            <w:r>
              <w:rPr>
                <w:rFonts w:ascii="Arial" w:hAnsi="Arial" w:eastAsia="Arial" w:cs="Arial"/>
                <w:color w:val="333333"/>
                <w:spacing w:val="-2"/>
                <w:sz w:val="18"/>
                <w:szCs w:val="18"/>
              </w:rPr>
              <w:t>480</w:t>
            </w:r>
          </w:p>
        </w:tc>
      </w:tr>
      <w:tr w14:paraId="29BAA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513" w:type="dxa"/>
            <w:vMerge w:val="continue"/>
            <w:tcBorders>
              <w:top w:val="nil"/>
              <w:bottom w:val="nil"/>
            </w:tcBorders>
            <w:vAlign w:val="top"/>
          </w:tcPr>
          <w:p w14:paraId="4AAEB2A2">
            <w:pPr>
              <w:rPr>
                <w:rFonts w:ascii="Arial"/>
                <w:sz w:val="21"/>
              </w:rPr>
            </w:pPr>
          </w:p>
        </w:tc>
        <w:tc>
          <w:tcPr>
            <w:tcW w:w="620" w:type="dxa"/>
            <w:vMerge w:val="continue"/>
            <w:tcBorders>
              <w:top w:val="nil"/>
              <w:bottom w:val="nil"/>
            </w:tcBorders>
            <w:vAlign w:val="top"/>
          </w:tcPr>
          <w:p w14:paraId="404EC10E">
            <w:pPr>
              <w:rPr>
                <w:rFonts w:ascii="Arial"/>
                <w:sz w:val="21"/>
              </w:rPr>
            </w:pPr>
          </w:p>
        </w:tc>
        <w:tc>
          <w:tcPr>
            <w:tcW w:w="2564" w:type="dxa"/>
            <w:vMerge w:val="continue"/>
            <w:tcBorders>
              <w:top w:val="nil"/>
              <w:bottom w:val="nil"/>
            </w:tcBorders>
            <w:vAlign w:val="top"/>
          </w:tcPr>
          <w:p w14:paraId="14391592">
            <w:pPr>
              <w:rPr>
                <w:rFonts w:ascii="Arial"/>
                <w:sz w:val="21"/>
              </w:rPr>
            </w:pPr>
          </w:p>
        </w:tc>
        <w:tc>
          <w:tcPr>
            <w:tcW w:w="2564" w:type="dxa"/>
            <w:vMerge w:val="continue"/>
            <w:tcBorders>
              <w:top w:val="nil"/>
              <w:bottom w:val="nil"/>
            </w:tcBorders>
            <w:vAlign w:val="top"/>
          </w:tcPr>
          <w:p w14:paraId="28A3F6F1">
            <w:pPr>
              <w:rPr>
                <w:rFonts w:ascii="Arial"/>
                <w:sz w:val="21"/>
              </w:rPr>
            </w:pPr>
          </w:p>
        </w:tc>
        <w:tc>
          <w:tcPr>
            <w:tcW w:w="1021" w:type="dxa"/>
            <w:vMerge w:val="continue"/>
            <w:tcBorders>
              <w:top w:val="nil"/>
              <w:bottom w:val="nil"/>
            </w:tcBorders>
            <w:vAlign w:val="top"/>
          </w:tcPr>
          <w:p w14:paraId="1549C5BB">
            <w:pPr>
              <w:rPr>
                <w:rFonts w:ascii="Arial"/>
                <w:sz w:val="21"/>
              </w:rPr>
            </w:pPr>
          </w:p>
        </w:tc>
        <w:tc>
          <w:tcPr>
            <w:tcW w:w="990" w:type="dxa"/>
            <w:vAlign w:val="top"/>
          </w:tcPr>
          <w:p w14:paraId="18E5EE6F">
            <w:pPr>
              <w:spacing w:before="216" w:line="219" w:lineRule="auto"/>
              <w:ind w:left="85"/>
              <w:rPr>
                <w:rFonts w:ascii="宋体" w:hAnsi="宋体" w:eastAsia="宋体" w:cs="宋体"/>
                <w:sz w:val="18"/>
                <w:szCs w:val="18"/>
              </w:rPr>
            </w:pPr>
            <w:r>
              <w:rPr>
                <w:rFonts w:ascii="宋体" w:hAnsi="宋体" w:eastAsia="宋体" w:cs="宋体"/>
                <w:color w:val="333333"/>
                <w:spacing w:val="-5"/>
                <w:sz w:val="18"/>
                <w:szCs w:val="18"/>
              </w:rPr>
              <w:t>二连浩特市</w:t>
            </w:r>
          </w:p>
        </w:tc>
        <w:tc>
          <w:tcPr>
            <w:tcW w:w="991" w:type="dxa"/>
            <w:vAlign w:val="top"/>
          </w:tcPr>
          <w:p w14:paraId="73157480">
            <w:pPr>
              <w:spacing w:before="216" w:line="219" w:lineRule="auto"/>
              <w:ind w:left="315"/>
              <w:rPr>
                <w:rFonts w:ascii="宋体" w:hAnsi="宋体" w:eastAsia="宋体" w:cs="宋体"/>
                <w:sz w:val="18"/>
                <w:szCs w:val="18"/>
              </w:rPr>
            </w:pPr>
            <w:r>
              <w:rPr>
                <w:rFonts w:ascii="Arial" w:hAnsi="Arial" w:eastAsia="Arial" w:cs="Arial"/>
                <w:color w:val="333333"/>
                <w:spacing w:val="-4"/>
                <w:sz w:val="18"/>
                <w:szCs w:val="18"/>
              </w:rPr>
              <w:t>7-9</w:t>
            </w:r>
            <w:r>
              <w:rPr>
                <w:rFonts w:ascii="宋体" w:hAnsi="宋体" w:eastAsia="宋体" w:cs="宋体"/>
                <w:color w:val="333333"/>
                <w:spacing w:val="-4"/>
                <w:sz w:val="18"/>
                <w:szCs w:val="18"/>
              </w:rPr>
              <w:t>月</w:t>
            </w:r>
          </w:p>
        </w:tc>
        <w:tc>
          <w:tcPr>
            <w:tcW w:w="990" w:type="dxa"/>
            <w:vAlign w:val="top"/>
          </w:tcPr>
          <w:p w14:paraId="278C7C14">
            <w:pPr>
              <w:spacing w:before="220" w:line="196" w:lineRule="auto"/>
              <w:ind w:left="384"/>
              <w:rPr>
                <w:rFonts w:ascii="Arial" w:hAnsi="Arial" w:eastAsia="Arial" w:cs="Arial"/>
                <w:sz w:val="18"/>
                <w:szCs w:val="18"/>
              </w:rPr>
            </w:pPr>
            <w:r>
              <w:rPr>
                <w:rFonts w:ascii="Arial" w:hAnsi="Arial" w:eastAsia="Arial" w:cs="Arial"/>
                <w:color w:val="333333"/>
                <w:spacing w:val="-4"/>
                <w:sz w:val="18"/>
                <w:szCs w:val="18"/>
              </w:rPr>
              <w:t>580</w:t>
            </w:r>
          </w:p>
        </w:tc>
        <w:tc>
          <w:tcPr>
            <w:tcW w:w="1012" w:type="dxa"/>
            <w:vAlign w:val="top"/>
          </w:tcPr>
          <w:p w14:paraId="47C993D7">
            <w:pPr>
              <w:spacing w:before="220" w:line="196" w:lineRule="auto"/>
              <w:ind w:left="373"/>
              <w:rPr>
                <w:rFonts w:ascii="Arial" w:hAnsi="Arial" w:eastAsia="Arial" w:cs="Arial"/>
                <w:sz w:val="18"/>
                <w:szCs w:val="18"/>
              </w:rPr>
            </w:pPr>
            <w:r>
              <w:rPr>
                <w:rFonts w:ascii="Arial" w:hAnsi="Arial" w:eastAsia="Arial" w:cs="Arial"/>
                <w:color w:val="333333"/>
                <w:spacing w:val="-2"/>
                <w:sz w:val="18"/>
                <w:szCs w:val="18"/>
              </w:rPr>
              <w:t>400</w:t>
            </w:r>
          </w:p>
        </w:tc>
      </w:tr>
      <w:tr w14:paraId="7D054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tcBorders>
            <w:vAlign w:val="top"/>
          </w:tcPr>
          <w:p w14:paraId="6BD13303">
            <w:pPr>
              <w:rPr>
                <w:rFonts w:ascii="Arial"/>
                <w:sz w:val="21"/>
              </w:rPr>
            </w:pPr>
          </w:p>
        </w:tc>
        <w:tc>
          <w:tcPr>
            <w:tcW w:w="620" w:type="dxa"/>
            <w:vMerge w:val="continue"/>
            <w:tcBorders>
              <w:top w:val="nil"/>
            </w:tcBorders>
            <w:vAlign w:val="top"/>
          </w:tcPr>
          <w:p w14:paraId="6A8EB563">
            <w:pPr>
              <w:rPr>
                <w:rFonts w:ascii="Arial"/>
                <w:sz w:val="21"/>
              </w:rPr>
            </w:pPr>
          </w:p>
        </w:tc>
        <w:tc>
          <w:tcPr>
            <w:tcW w:w="2564" w:type="dxa"/>
            <w:vMerge w:val="continue"/>
            <w:tcBorders>
              <w:top w:val="nil"/>
            </w:tcBorders>
            <w:vAlign w:val="top"/>
          </w:tcPr>
          <w:p w14:paraId="2C59D546">
            <w:pPr>
              <w:rPr>
                <w:rFonts w:ascii="Arial"/>
                <w:sz w:val="21"/>
              </w:rPr>
            </w:pPr>
          </w:p>
        </w:tc>
        <w:tc>
          <w:tcPr>
            <w:tcW w:w="2564" w:type="dxa"/>
            <w:vMerge w:val="continue"/>
            <w:tcBorders>
              <w:top w:val="nil"/>
            </w:tcBorders>
            <w:vAlign w:val="top"/>
          </w:tcPr>
          <w:p w14:paraId="5E832C54">
            <w:pPr>
              <w:rPr>
                <w:rFonts w:ascii="Arial"/>
                <w:sz w:val="21"/>
              </w:rPr>
            </w:pPr>
          </w:p>
        </w:tc>
        <w:tc>
          <w:tcPr>
            <w:tcW w:w="1021" w:type="dxa"/>
            <w:vMerge w:val="continue"/>
            <w:tcBorders>
              <w:top w:val="nil"/>
            </w:tcBorders>
            <w:vAlign w:val="top"/>
          </w:tcPr>
          <w:p w14:paraId="03ED61EF">
            <w:pPr>
              <w:rPr>
                <w:rFonts w:ascii="Arial"/>
                <w:sz w:val="21"/>
              </w:rPr>
            </w:pPr>
          </w:p>
        </w:tc>
        <w:tc>
          <w:tcPr>
            <w:tcW w:w="990" w:type="dxa"/>
            <w:vAlign w:val="top"/>
          </w:tcPr>
          <w:p w14:paraId="2AD4A7B7">
            <w:pPr>
              <w:spacing w:before="179" w:line="219" w:lineRule="auto"/>
              <w:ind w:left="168"/>
              <w:rPr>
                <w:rFonts w:ascii="宋体" w:hAnsi="宋体" w:eastAsia="宋体" w:cs="宋体"/>
                <w:sz w:val="18"/>
                <w:szCs w:val="18"/>
              </w:rPr>
            </w:pPr>
            <w:r>
              <w:rPr>
                <w:rFonts w:ascii="宋体" w:hAnsi="宋体" w:eastAsia="宋体" w:cs="宋体"/>
                <w:color w:val="333333"/>
                <w:spacing w:val="-4"/>
                <w:sz w:val="18"/>
                <w:szCs w:val="18"/>
              </w:rPr>
              <w:t>额济纳旗</w:t>
            </w:r>
          </w:p>
        </w:tc>
        <w:tc>
          <w:tcPr>
            <w:tcW w:w="991" w:type="dxa"/>
            <w:vAlign w:val="top"/>
          </w:tcPr>
          <w:p w14:paraId="41865556">
            <w:pPr>
              <w:spacing w:before="179" w:line="219" w:lineRule="auto"/>
              <w:ind w:left="259"/>
              <w:rPr>
                <w:rFonts w:ascii="宋体" w:hAnsi="宋体" w:eastAsia="宋体" w:cs="宋体"/>
                <w:sz w:val="18"/>
                <w:szCs w:val="18"/>
              </w:rPr>
            </w:pPr>
            <w:r>
              <w:rPr>
                <w:rFonts w:ascii="Arial" w:hAnsi="Arial" w:eastAsia="Arial" w:cs="Arial"/>
                <w:color w:val="333333"/>
                <w:spacing w:val="-3"/>
                <w:sz w:val="18"/>
                <w:szCs w:val="18"/>
              </w:rPr>
              <w:t>9-10</w:t>
            </w:r>
            <w:r>
              <w:rPr>
                <w:rFonts w:ascii="宋体" w:hAnsi="宋体" w:eastAsia="宋体" w:cs="宋体"/>
                <w:color w:val="333333"/>
                <w:spacing w:val="-3"/>
                <w:sz w:val="18"/>
                <w:szCs w:val="18"/>
              </w:rPr>
              <w:t>月</w:t>
            </w:r>
          </w:p>
        </w:tc>
        <w:tc>
          <w:tcPr>
            <w:tcW w:w="990" w:type="dxa"/>
            <w:vAlign w:val="top"/>
          </w:tcPr>
          <w:p w14:paraId="77B3E78D">
            <w:pPr>
              <w:spacing w:before="178" w:line="196" w:lineRule="auto"/>
              <w:ind w:left="381"/>
              <w:rPr>
                <w:rFonts w:ascii="Arial" w:hAnsi="Arial" w:eastAsia="Arial" w:cs="Arial"/>
                <w:sz w:val="18"/>
                <w:szCs w:val="18"/>
              </w:rPr>
            </w:pPr>
            <w:r>
              <w:rPr>
                <w:rFonts w:ascii="Arial" w:hAnsi="Arial" w:eastAsia="Arial" w:cs="Arial"/>
                <w:color w:val="333333"/>
                <w:spacing w:val="-3"/>
                <w:sz w:val="18"/>
                <w:szCs w:val="18"/>
              </w:rPr>
              <w:t>690</w:t>
            </w:r>
          </w:p>
        </w:tc>
        <w:tc>
          <w:tcPr>
            <w:tcW w:w="1012" w:type="dxa"/>
            <w:vAlign w:val="top"/>
          </w:tcPr>
          <w:p w14:paraId="218E2965">
            <w:pPr>
              <w:spacing w:before="178" w:line="196" w:lineRule="auto"/>
              <w:ind w:left="373"/>
              <w:rPr>
                <w:rFonts w:ascii="Arial" w:hAnsi="Arial" w:eastAsia="Arial" w:cs="Arial"/>
                <w:sz w:val="18"/>
                <w:szCs w:val="18"/>
              </w:rPr>
            </w:pPr>
            <w:r>
              <w:rPr>
                <w:rFonts w:ascii="Arial" w:hAnsi="Arial" w:eastAsia="Arial" w:cs="Arial"/>
                <w:color w:val="333333"/>
                <w:spacing w:val="-2"/>
                <w:sz w:val="18"/>
                <w:szCs w:val="18"/>
              </w:rPr>
              <w:t>480</w:t>
            </w:r>
          </w:p>
        </w:tc>
      </w:tr>
      <w:tr w14:paraId="6739E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restart"/>
            <w:tcBorders>
              <w:bottom w:val="nil"/>
            </w:tcBorders>
            <w:vAlign w:val="top"/>
          </w:tcPr>
          <w:p w14:paraId="79E74B22">
            <w:pPr>
              <w:spacing w:line="358" w:lineRule="auto"/>
              <w:rPr>
                <w:rFonts w:ascii="Arial"/>
                <w:sz w:val="21"/>
              </w:rPr>
            </w:pPr>
          </w:p>
          <w:p w14:paraId="7AF4DA07">
            <w:pPr>
              <w:spacing w:before="52" w:line="196" w:lineRule="auto"/>
              <w:ind w:left="226"/>
              <w:rPr>
                <w:rFonts w:ascii="Arial" w:hAnsi="Arial" w:eastAsia="Arial" w:cs="Arial"/>
                <w:sz w:val="18"/>
                <w:szCs w:val="18"/>
              </w:rPr>
            </w:pPr>
            <w:r>
              <w:rPr>
                <w:rFonts w:ascii="Arial" w:hAnsi="Arial" w:eastAsia="Arial" w:cs="Arial"/>
                <w:color w:val="333333"/>
                <w:sz w:val="18"/>
                <w:szCs w:val="18"/>
              </w:rPr>
              <w:t>6</w:t>
            </w:r>
          </w:p>
        </w:tc>
        <w:tc>
          <w:tcPr>
            <w:tcW w:w="620" w:type="dxa"/>
            <w:vMerge w:val="restart"/>
            <w:tcBorders>
              <w:bottom w:val="nil"/>
            </w:tcBorders>
            <w:vAlign w:val="top"/>
          </w:tcPr>
          <w:p w14:paraId="7DA4865E">
            <w:pPr>
              <w:spacing w:line="350" w:lineRule="auto"/>
              <w:rPr>
                <w:rFonts w:ascii="Arial"/>
                <w:sz w:val="21"/>
              </w:rPr>
            </w:pPr>
          </w:p>
          <w:p w14:paraId="41CE67D8">
            <w:pPr>
              <w:spacing w:before="58" w:line="221" w:lineRule="auto"/>
              <w:ind w:left="154"/>
              <w:rPr>
                <w:rFonts w:ascii="宋体" w:hAnsi="宋体" w:eastAsia="宋体" w:cs="宋体"/>
                <w:sz w:val="18"/>
                <w:szCs w:val="18"/>
              </w:rPr>
            </w:pPr>
            <w:r>
              <w:rPr>
                <w:rFonts w:ascii="宋体" w:hAnsi="宋体" w:eastAsia="宋体" w:cs="宋体"/>
                <w:color w:val="333333"/>
                <w:spacing w:val="-6"/>
                <w:sz w:val="18"/>
                <w:szCs w:val="18"/>
              </w:rPr>
              <w:t>辽宁</w:t>
            </w:r>
          </w:p>
        </w:tc>
        <w:tc>
          <w:tcPr>
            <w:tcW w:w="2564" w:type="dxa"/>
            <w:vAlign w:val="top"/>
          </w:tcPr>
          <w:p w14:paraId="5CDE6B46">
            <w:pPr>
              <w:spacing w:before="180" w:line="219" w:lineRule="auto"/>
              <w:ind w:left="1031"/>
              <w:rPr>
                <w:rFonts w:ascii="宋体" w:hAnsi="宋体" w:eastAsia="宋体" w:cs="宋体"/>
                <w:sz w:val="18"/>
                <w:szCs w:val="18"/>
              </w:rPr>
            </w:pPr>
            <w:r>
              <w:rPr>
                <w:rFonts w:ascii="宋体" w:hAnsi="宋体" w:eastAsia="宋体" w:cs="宋体"/>
                <w:color w:val="333333"/>
                <w:spacing w:val="-5"/>
                <w:sz w:val="18"/>
                <w:szCs w:val="18"/>
              </w:rPr>
              <w:t>沈阳市</w:t>
            </w:r>
          </w:p>
        </w:tc>
        <w:tc>
          <w:tcPr>
            <w:tcW w:w="2564" w:type="dxa"/>
            <w:vAlign w:val="top"/>
          </w:tcPr>
          <w:p w14:paraId="09F73A2A">
            <w:pPr>
              <w:spacing w:before="182"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7AE8CDAF">
            <w:pPr>
              <w:spacing w:before="182"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760B319C">
            <w:pPr>
              <w:spacing w:line="269" w:lineRule="auto"/>
              <w:rPr>
                <w:rFonts w:ascii="Arial"/>
                <w:sz w:val="21"/>
              </w:rPr>
            </w:pPr>
          </w:p>
          <w:p w14:paraId="03329CA6">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2035BD41">
            <w:pPr>
              <w:spacing w:line="269" w:lineRule="auto"/>
              <w:rPr>
                <w:rFonts w:ascii="Arial"/>
                <w:sz w:val="21"/>
              </w:rPr>
            </w:pPr>
          </w:p>
          <w:p w14:paraId="4FA782F7">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0AC61DD1">
            <w:pPr>
              <w:spacing w:line="269" w:lineRule="auto"/>
              <w:rPr>
                <w:rFonts w:ascii="Arial"/>
                <w:sz w:val="21"/>
              </w:rPr>
            </w:pPr>
          </w:p>
          <w:p w14:paraId="3492D450">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25F2A1B3">
            <w:pPr>
              <w:spacing w:line="269" w:lineRule="auto"/>
              <w:rPr>
                <w:rFonts w:ascii="Arial"/>
                <w:sz w:val="21"/>
              </w:rPr>
            </w:pPr>
          </w:p>
          <w:p w14:paraId="349D9822">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20BF7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73C92A94">
            <w:pPr>
              <w:rPr>
                <w:rFonts w:ascii="Arial"/>
                <w:sz w:val="21"/>
              </w:rPr>
            </w:pPr>
          </w:p>
        </w:tc>
        <w:tc>
          <w:tcPr>
            <w:tcW w:w="620" w:type="dxa"/>
            <w:vMerge w:val="continue"/>
            <w:tcBorders>
              <w:top w:val="nil"/>
            </w:tcBorders>
            <w:vAlign w:val="top"/>
          </w:tcPr>
          <w:p w14:paraId="4BB42F6A">
            <w:pPr>
              <w:rPr>
                <w:rFonts w:ascii="Arial"/>
                <w:sz w:val="21"/>
              </w:rPr>
            </w:pPr>
          </w:p>
        </w:tc>
        <w:tc>
          <w:tcPr>
            <w:tcW w:w="2564" w:type="dxa"/>
            <w:vAlign w:val="top"/>
          </w:tcPr>
          <w:p w14:paraId="2107E4ED">
            <w:pPr>
              <w:spacing w:before="178"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452E0977">
            <w:pPr>
              <w:spacing w:before="182"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6712C39E">
            <w:pPr>
              <w:spacing w:before="182" w:line="196" w:lineRule="auto"/>
              <w:ind w:left="386"/>
              <w:rPr>
                <w:rFonts w:ascii="Arial" w:hAnsi="Arial" w:eastAsia="Arial" w:cs="Arial"/>
                <w:sz w:val="18"/>
                <w:szCs w:val="18"/>
              </w:rPr>
            </w:pPr>
            <w:r>
              <w:rPr>
                <w:rFonts w:ascii="Arial" w:hAnsi="Arial" w:eastAsia="Arial" w:cs="Arial"/>
                <w:color w:val="333333"/>
                <w:spacing w:val="-4"/>
                <w:sz w:val="18"/>
                <w:szCs w:val="18"/>
              </w:rPr>
              <w:t>330</w:t>
            </w:r>
          </w:p>
        </w:tc>
        <w:tc>
          <w:tcPr>
            <w:tcW w:w="990" w:type="dxa"/>
            <w:vAlign w:val="top"/>
          </w:tcPr>
          <w:p w14:paraId="466D7A56">
            <w:pPr>
              <w:spacing w:line="269" w:lineRule="auto"/>
              <w:rPr>
                <w:rFonts w:ascii="Arial"/>
                <w:sz w:val="21"/>
              </w:rPr>
            </w:pPr>
          </w:p>
          <w:p w14:paraId="47B6BAB8">
            <w:pPr>
              <w:spacing w:before="52"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5173C89">
            <w:pPr>
              <w:spacing w:line="269" w:lineRule="auto"/>
              <w:rPr>
                <w:rFonts w:ascii="Arial"/>
                <w:sz w:val="21"/>
              </w:rPr>
            </w:pPr>
          </w:p>
          <w:p w14:paraId="7FD8B5EF">
            <w:pPr>
              <w:spacing w:before="52"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2F07C0E8">
            <w:pPr>
              <w:spacing w:line="269" w:lineRule="auto"/>
              <w:rPr>
                <w:rFonts w:ascii="Arial"/>
                <w:sz w:val="21"/>
              </w:rPr>
            </w:pPr>
          </w:p>
          <w:p w14:paraId="1BAB7CEC">
            <w:pPr>
              <w:spacing w:before="52"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00D7EFED">
            <w:pPr>
              <w:spacing w:line="269" w:lineRule="auto"/>
              <w:rPr>
                <w:rFonts w:ascii="Arial"/>
                <w:sz w:val="21"/>
              </w:rPr>
            </w:pPr>
          </w:p>
          <w:p w14:paraId="6C4B7071">
            <w:pPr>
              <w:spacing w:before="52"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071B4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Align w:val="top"/>
          </w:tcPr>
          <w:p w14:paraId="26E460E0">
            <w:pPr>
              <w:spacing w:before="187" w:line="194" w:lineRule="auto"/>
              <w:ind w:left="230"/>
              <w:rPr>
                <w:rFonts w:ascii="Arial" w:hAnsi="Arial" w:eastAsia="Arial" w:cs="Arial"/>
                <w:sz w:val="18"/>
                <w:szCs w:val="18"/>
              </w:rPr>
            </w:pPr>
            <w:r>
              <w:rPr>
                <w:rFonts w:ascii="Arial" w:hAnsi="Arial" w:eastAsia="Arial" w:cs="Arial"/>
                <w:color w:val="333333"/>
                <w:sz w:val="18"/>
                <w:szCs w:val="18"/>
              </w:rPr>
              <w:t>7</w:t>
            </w:r>
          </w:p>
        </w:tc>
        <w:tc>
          <w:tcPr>
            <w:tcW w:w="620" w:type="dxa"/>
            <w:vAlign w:val="top"/>
          </w:tcPr>
          <w:p w14:paraId="7366A463">
            <w:pPr>
              <w:spacing w:before="181" w:line="220" w:lineRule="auto"/>
              <w:ind w:left="147"/>
              <w:rPr>
                <w:rFonts w:ascii="宋体" w:hAnsi="宋体" w:eastAsia="宋体" w:cs="宋体"/>
                <w:sz w:val="18"/>
                <w:szCs w:val="18"/>
              </w:rPr>
            </w:pPr>
            <w:r>
              <w:rPr>
                <w:rFonts w:ascii="宋体" w:hAnsi="宋体" w:eastAsia="宋体" w:cs="宋体"/>
                <w:color w:val="333333"/>
                <w:spacing w:val="-5"/>
                <w:sz w:val="18"/>
                <w:szCs w:val="18"/>
              </w:rPr>
              <w:t>大连</w:t>
            </w:r>
          </w:p>
        </w:tc>
        <w:tc>
          <w:tcPr>
            <w:tcW w:w="2564" w:type="dxa"/>
            <w:vAlign w:val="top"/>
          </w:tcPr>
          <w:p w14:paraId="59DDF062">
            <w:pPr>
              <w:spacing w:before="181" w:line="219" w:lineRule="auto"/>
              <w:ind w:left="1117"/>
              <w:rPr>
                <w:rFonts w:ascii="宋体" w:hAnsi="宋体" w:eastAsia="宋体" w:cs="宋体"/>
                <w:sz w:val="18"/>
                <w:szCs w:val="18"/>
              </w:rPr>
            </w:pPr>
            <w:r>
              <w:rPr>
                <w:rFonts w:ascii="宋体" w:hAnsi="宋体" w:eastAsia="宋体" w:cs="宋体"/>
                <w:color w:val="333333"/>
                <w:spacing w:val="-4"/>
                <w:sz w:val="18"/>
                <w:szCs w:val="18"/>
              </w:rPr>
              <w:t>全市</w:t>
            </w:r>
          </w:p>
        </w:tc>
        <w:tc>
          <w:tcPr>
            <w:tcW w:w="2564" w:type="dxa"/>
            <w:vAlign w:val="top"/>
          </w:tcPr>
          <w:p w14:paraId="23601B78">
            <w:pPr>
              <w:spacing w:before="182" w:line="196" w:lineRule="auto"/>
              <w:ind w:left="1137"/>
              <w:rPr>
                <w:rFonts w:ascii="Arial" w:hAnsi="Arial" w:eastAsia="Arial" w:cs="Arial"/>
                <w:sz w:val="18"/>
                <w:szCs w:val="18"/>
              </w:rPr>
            </w:pPr>
            <w:r>
              <w:rPr>
                <w:rFonts w:ascii="Arial" w:hAnsi="Arial" w:eastAsia="Arial" w:cs="Arial"/>
                <w:color w:val="333333"/>
                <w:spacing w:val="-1"/>
                <w:sz w:val="18"/>
                <w:szCs w:val="18"/>
              </w:rPr>
              <w:t>490</w:t>
            </w:r>
          </w:p>
        </w:tc>
        <w:tc>
          <w:tcPr>
            <w:tcW w:w="1021" w:type="dxa"/>
            <w:vAlign w:val="top"/>
          </w:tcPr>
          <w:p w14:paraId="6B458E1B">
            <w:pPr>
              <w:spacing w:before="182"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2AA61218">
            <w:pPr>
              <w:spacing w:before="181" w:line="219" w:lineRule="auto"/>
              <w:ind w:left="348"/>
              <w:rPr>
                <w:rFonts w:ascii="宋体" w:hAnsi="宋体" w:eastAsia="宋体" w:cs="宋体"/>
                <w:sz w:val="18"/>
                <w:szCs w:val="18"/>
              </w:rPr>
            </w:pPr>
            <w:r>
              <w:rPr>
                <w:rFonts w:ascii="宋体" w:hAnsi="宋体" w:eastAsia="宋体" w:cs="宋体"/>
                <w:color w:val="333333"/>
                <w:spacing w:val="-4"/>
                <w:sz w:val="18"/>
                <w:szCs w:val="18"/>
              </w:rPr>
              <w:t>全市</w:t>
            </w:r>
          </w:p>
        </w:tc>
        <w:tc>
          <w:tcPr>
            <w:tcW w:w="991" w:type="dxa"/>
            <w:vAlign w:val="top"/>
          </w:tcPr>
          <w:p w14:paraId="475EE938">
            <w:pPr>
              <w:spacing w:before="181" w:line="219" w:lineRule="auto"/>
              <w:ind w:left="315"/>
              <w:rPr>
                <w:rFonts w:ascii="宋体" w:hAnsi="宋体" w:eastAsia="宋体" w:cs="宋体"/>
                <w:sz w:val="18"/>
                <w:szCs w:val="18"/>
              </w:rPr>
            </w:pPr>
            <w:r>
              <w:rPr>
                <w:rFonts w:ascii="Arial" w:hAnsi="Arial" w:eastAsia="Arial" w:cs="Arial"/>
                <w:color w:val="333333"/>
                <w:spacing w:val="-4"/>
                <w:sz w:val="18"/>
                <w:szCs w:val="18"/>
              </w:rPr>
              <w:t>7-9</w:t>
            </w:r>
            <w:r>
              <w:rPr>
                <w:rFonts w:ascii="宋体" w:hAnsi="宋体" w:eastAsia="宋体" w:cs="宋体"/>
                <w:color w:val="333333"/>
                <w:spacing w:val="-4"/>
                <w:sz w:val="18"/>
                <w:szCs w:val="18"/>
              </w:rPr>
              <w:t>月</w:t>
            </w:r>
          </w:p>
        </w:tc>
        <w:tc>
          <w:tcPr>
            <w:tcW w:w="990" w:type="dxa"/>
            <w:vAlign w:val="top"/>
          </w:tcPr>
          <w:p w14:paraId="54E67A47">
            <w:pPr>
              <w:spacing w:before="182" w:line="196" w:lineRule="auto"/>
              <w:ind w:left="384"/>
              <w:rPr>
                <w:rFonts w:ascii="Arial" w:hAnsi="Arial" w:eastAsia="Arial" w:cs="Arial"/>
                <w:sz w:val="18"/>
                <w:szCs w:val="18"/>
              </w:rPr>
            </w:pPr>
            <w:r>
              <w:rPr>
                <w:rFonts w:ascii="Arial" w:hAnsi="Arial" w:eastAsia="Arial" w:cs="Arial"/>
                <w:color w:val="333333"/>
                <w:spacing w:val="-4"/>
                <w:sz w:val="18"/>
                <w:szCs w:val="18"/>
              </w:rPr>
              <w:t>590</w:t>
            </w:r>
          </w:p>
        </w:tc>
        <w:tc>
          <w:tcPr>
            <w:tcW w:w="1012" w:type="dxa"/>
            <w:vAlign w:val="top"/>
          </w:tcPr>
          <w:p w14:paraId="6682EA02">
            <w:pPr>
              <w:spacing w:before="182" w:line="196" w:lineRule="auto"/>
              <w:ind w:left="373"/>
              <w:rPr>
                <w:rFonts w:ascii="Arial" w:hAnsi="Arial" w:eastAsia="Arial" w:cs="Arial"/>
                <w:sz w:val="18"/>
                <w:szCs w:val="18"/>
              </w:rPr>
            </w:pPr>
            <w:r>
              <w:rPr>
                <w:rFonts w:ascii="Arial" w:hAnsi="Arial" w:eastAsia="Arial" w:cs="Arial"/>
                <w:color w:val="333333"/>
                <w:spacing w:val="-2"/>
                <w:sz w:val="18"/>
                <w:szCs w:val="18"/>
              </w:rPr>
              <w:t>420</w:t>
            </w:r>
          </w:p>
        </w:tc>
      </w:tr>
      <w:tr w14:paraId="05682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513" w:type="dxa"/>
            <w:vMerge w:val="restart"/>
            <w:tcBorders>
              <w:bottom w:val="nil"/>
            </w:tcBorders>
            <w:vAlign w:val="top"/>
          </w:tcPr>
          <w:p w14:paraId="0F312324">
            <w:pPr>
              <w:spacing w:line="474" w:lineRule="auto"/>
              <w:rPr>
                <w:rFonts w:ascii="Arial"/>
                <w:sz w:val="21"/>
              </w:rPr>
            </w:pPr>
          </w:p>
          <w:p w14:paraId="7135781D">
            <w:pPr>
              <w:spacing w:before="51" w:line="196" w:lineRule="auto"/>
              <w:ind w:left="227"/>
              <w:rPr>
                <w:rFonts w:ascii="Arial" w:hAnsi="Arial" w:eastAsia="Arial" w:cs="Arial"/>
                <w:sz w:val="18"/>
                <w:szCs w:val="18"/>
              </w:rPr>
            </w:pPr>
            <w:r>
              <w:rPr>
                <w:rFonts w:ascii="Arial" w:hAnsi="Arial" w:eastAsia="Arial" w:cs="Arial"/>
                <w:color w:val="333333"/>
                <w:sz w:val="18"/>
                <w:szCs w:val="18"/>
              </w:rPr>
              <w:t>8</w:t>
            </w:r>
          </w:p>
        </w:tc>
        <w:tc>
          <w:tcPr>
            <w:tcW w:w="620" w:type="dxa"/>
            <w:vMerge w:val="restart"/>
            <w:tcBorders>
              <w:bottom w:val="nil"/>
            </w:tcBorders>
            <w:vAlign w:val="top"/>
          </w:tcPr>
          <w:p w14:paraId="2C09778C">
            <w:pPr>
              <w:spacing w:line="468" w:lineRule="auto"/>
              <w:rPr>
                <w:rFonts w:ascii="Arial"/>
                <w:sz w:val="21"/>
              </w:rPr>
            </w:pPr>
          </w:p>
          <w:p w14:paraId="78801B6A">
            <w:pPr>
              <w:spacing w:before="58" w:line="219" w:lineRule="auto"/>
              <w:ind w:left="161"/>
              <w:rPr>
                <w:rFonts w:ascii="宋体" w:hAnsi="宋体" w:eastAsia="宋体" w:cs="宋体"/>
                <w:sz w:val="18"/>
                <w:szCs w:val="18"/>
              </w:rPr>
            </w:pPr>
            <w:r>
              <w:rPr>
                <w:rFonts w:ascii="宋体" w:hAnsi="宋体" w:eastAsia="宋体" w:cs="宋体"/>
                <w:color w:val="333333"/>
                <w:spacing w:val="-7"/>
                <w:sz w:val="18"/>
                <w:szCs w:val="18"/>
              </w:rPr>
              <w:t>吉林</w:t>
            </w:r>
          </w:p>
        </w:tc>
        <w:tc>
          <w:tcPr>
            <w:tcW w:w="2564" w:type="dxa"/>
            <w:vAlign w:val="top"/>
          </w:tcPr>
          <w:p w14:paraId="6491CD81">
            <w:pPr>
              <w:spacing w:before="189" w:line="220" w:lineRule="auto"/>
              <w:ind w:left="926" w:right="119" w:hanging="795"/>
              <w:rPr>
                <w:rFonts w:ascii="宋体" w:hAnsi="宋体" w:eastAsia="宋体" w:cs="宋体"/>
                <w:sz w:val="18"/>
                <w:szCs w:val="18"/>
              </w:rPr>
            </w:pPr>
            <w:r>
              <w:rPr>
                <w:rFonts w:ascii="宋体" w:hAnsi="宋体" w:eastAsia="宋体" w:cs="宋体"/>
                <w:color w:val="333333"/>
                <w:spacing w:val="-3"/>
                <w:sz w:val="18"/>
                <w:szCs w:val="18"/>
              </w:rPr>
              <w:t>长春市、吉林市、延边州、长</w:t>
            </w:r>
            <w:r>
              <w:rPr>
                <w:rFonts w:ascii="宋体" w:hAnsi="宋体" w:eastAsia="宋体" w:cs="宋体"/>
                <w:color w:val="333333"/>
                <w:spacing w:val="6"/>
                <w:sz w:val="18"/>
                <w:szCs w:val="18"/>
              </w:rPr>
              <w:t xml:space="preserve"> </w:t>
            </w:r>
            <w:r>
              <w:rPr>
                <w:rFonts w:ascii="宋体" w:hAnsi="宋体" w:eastAsia="宋体" w:cs="宋体"/>
                <w:color w:val="333333"/>
                <w:spacing w:val="-14"/>
                <w:sz w:val="18"/>
                <w:szCs w:val="18"/>
              </w:rPr>
              <w:t>白山管理区</w:t>
            </w:r>
          </w:p>
        </w:tc>
        <w:tc>
          <w:tcPr>
            <w:tcW w:w="2564" w:type="dxa"/>
            <w:vAlign w:val="top"/>
          </w:tcPr>
          <w:p w14:paraId="4994303A">
            <w:pPr>
              <w:spacing w:line="247" w:lineRule="auto"/>
              <w:rPr>
                <w:rFonts w:ascii="Arial"/>
                <w:sz w:val="21"/>
              </w:rPr>
            </w:pPr>
          </w:p>
          <w:p w14:paraId="227B39BF">
            <w:pPr>
              <w:spacing w:before="52"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Align w:val="top"/>
          </w:tcPr>
          <w:p w14:paraId="0A1CCFE4">
            <w:pPr>
              <w:spacing w:line="247" w:lineRule="auto"/>
              <w:rPr>
                <w:rFonts w:ascii="Arial"/>
                <w:sz w:val="21"/>
              </w:rPr>
            </w:pPr>
          </w:p>
          <w:p w14:paraId="15A2745C">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1DE5A524">
            <w:pPr>
              <w:spacing w:before="73" w:line="209" w:lineRule="auto"/>
              <w:ind w:right="6"/>
              <w:jc w:val="right"/>
              <w:rPr>
                <w:rFonts w:ascii="宋体" w:hAnsi="宋体" w:eastAsia="宋体" w:cs="宋体"/>
                <w:sz w:val="18"/>
                <w:szCs w:val="18"/>
              </w:rPr>
            </w:pPr>
            <w:r>
              <w:rPr>
                <w:rFonts w:ascii="宋体" w:hAnsi="宋体" w:eastAsia="宋体" w:cs="宋体"/>
                <w:color w:val="333333"/>
                <w:spacing w:val="-4"/>
                <w:sz w:val="18"/>
                <w:szCs w:val="18"/>
              </w:rPr>
              <w:t>吉林市、延</w:t>
            </w:r>
          </w:p>
          <w:p w14:paraId="3A72608B">
            <w:pPr>
              <w:spacing w:line="201" w:lineRule="auto"/>
              <w:ind w:left="74"/>
              <w:rPr>
                <w:rFonts w:ascii="宋体" w:hAnsi="宋体" w:eastAsia="宋体" w:cs="宋体"/>
                <w:sz w:val="18"/>
                <w:szCs w:val="18"/>
              </w:rPr>
            </w:pPr>
            <w:r>
              <w:rPr>
                <w:rFonts w:ascii="宋体" w:hAnsi="宋体" w:eastAsia="宋体" w:cs="宋体"/>
                <w:color w:val="333333"/>
                <w:spacing w:val="-4"/>
                <w:sz w:val="18"/>
                <w:szCs w:val="18"/>
              </w:rPr>
              <w:t>边州、长白</w:t>
            </w:r>
          </w:p>
          <w:p w14:paraId="1F764CA0">
            <w:pPr>
              <w:spacing w:line="209" w:lineRule="auto"/>
              <w:ind w:left="216"/>
              <w:rPr>
                <w:rFonts w:ascii="宋体" w:hAnsi="宋体" w:eastAsia="宋体" w:cs="宋体"/>
                <w:sz w:val="18"/>
                <w:szCs w:val="18"/>
              </w:rPr>
            </w:pPr>
            <w:r>
              <w:rPr>
                <w:rFonts w:ascii="宋体" w:hAnsi="宋体" w:eastAsia="宋体" w:cs="宋体"/>
                <w:color w:val="333333"/>
                <w:spacing w:val="-11"/>
                <w:sz w:val="18"/>
                <w:szCs w:val="18"/>
              </w:rPr>
              <w:t>山管理区</w:t>
            </w:r>
          </w:p>
        </w:tc>
        <w:tc>
          <w:tcPr>
            <w:tcW w:w="991" w:type="dxa"/>
            <w:vAlign w:val="top"/>
          </w:tcPr>
          <w:p w14:paraId="0E8351AA">
            <w:pPr>
              <w:spacing w:before="296" w:line="219" w:lineRule="auto"/>
              <w:ind w:left="315"/>
              <w:rPr>
                <w:rFonts w:ascii="宋体" w:hAnsi="宋体" w:eastAsia="宋体" w:cs="宋体"/>
                <w:sz w:val="18"/>
                <w:szCs w:val="18"/>
              </w:rPr>
            </w:pPr>
            <w:r>
              <w:rPr>
                <w:rFonts w:ascii="Arial" w:hAnsi="Arial" w:eastAsia="Arial" w:cs="Arial"/>
                <w:color w:val="333333"/>
                <w:spacing w:val="-4"/>
                <w:sz w:val="18"/>
                <w:szCs w:val="18"/>
              </w:rPr>
              <w:t>7-9</w:t>
            </w:r>
            <w:r>
              <w:rPr>
                <w:rFonts w:ascii="宋体" w:hAnsi="宋体" w:eastAsia="宋体" w:cs="宋体"/>
                <w:color w:val="333333"/>
                <w:spacing w:val="-4"/>
                <w:sz w:val="18"/>
                <w:szCs w:val="18"/>
              </w:rPr>
              <w:t>月</w:t>
            </w:r>
          </w:p>
        </w:tc>
        <w:tc>
          <w:tcPr>
            <w:tcW w:w="990" w:type="dxa"/>
            <w:vAlign w:val="top"/>
          </w:tcPr>
          <w:p w14:paraId="29DAD4AE">
            <w:pPr>
              <w:spacing w:line="247" w:lineRule="auto"/>
              <w:rPr>
                <w:rFonts w:ascii="Arial"/>
                <w:sz w:val="21"/>
              </w:rPr>
            </w:pPr>
          </w:p>
          <w:p w14:paraId="08075B79">
            <w:pPr>
              <w:spacing w:before="52" w:line="196" w:lineRule="auto"/>
              <w:ind w:left="384"/>
              <w:rPr>
                <w:rFonts w:ascii="Arial" w:hAnsi="Arial" w:eastAsia="Arial" w:cs="Arial"/>
                <w:sz w:val="18"/>
                <w:szCs w:val="18"/>
              </w:rPr>
            </w:pPr>
            <w:r>
              <w:rPr>
                <w:rFonts w:ascii="Arial" w:hAnsi="Arial" w:eastAsia="Arial" w:cs="Arial"/>
                <w:color w:val="333333"/>
                <w:spacing w:val="-4"/>
                <w:sz w:val="18"/>
                <w:szCs w:val="18"/>
              </w:rPr>
              <w:t>540</w:t>
            </w:r>
          </w:p>
        </w:tc>
        <w:tc>
          <w:tcPr>
            <w:tcW w:w="1012" w:type="dxa"/>
            <w:vAlign w:val="top"/>
          </w:tcPr>
          <w:p w14:paraId="71A6DAA4">
            <w:pPr>
              <w:spacing w:line="247" w:lineRule="auto"/>
              <w:rPr>
                <w:rFonts w:ascii="Arial"/>
                <w:sz w:val="21"/>
              </w:rPr>
            </w:pPr>
          </w:p>
          <w:p w14:paraId="08201E3A">
            <w:pPr>
              <w:spacing w:before="52" w:line="196" w:lineRule="auto"/>
              <w:ind w:left="373"/>
              <w:rPr>
                <w:rFonts w:ascii="Arial" w:hAnsi="Arial" w:eastAsia="Arial" w:cs="Arial"/>
                <w:sz w:val="18"/>
                <w:szCs w:val="18"/>
              </w:rPr>
            </w:pPr>
            <w:r>
              <w:rPr>
                <w:rFonts w:ascii="Arial" w:hAnsi="Arial" w:eastAsia="Arial" w:cs="Arial"/>
                <w:color w:val="333333"/>
                <w:spacing w:val="-2"/>
                <w:sz w:val="18"/>
                <w:szCs w:val="18"/>
              </w:rPr>
              <w:t>420</w:t>
            </w:r>
          </w:p>
        </w:tc>
      </w:tr>
      <w:tr w14:paraId="21359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677B8BE5">
            <w:pPr>
              <w:rPr>
                <w:rFonts w:ascii="Arial"/>
                <w:sz w:val="21"/>
              </w:rPr>
            </w:pPr>
          </w:p>
        </w:tc>
        <w:tc>
          <w:tcPr>
            <w:tcW w:w="620" w:type="dxa"/>
            <w:vMerge w:val="continue"/>
            <w:tcBorders>
              <w:top w:val="nil"/>
            </w:tcBorders>
            <w:vAlign w:val="top"/>
          </w:tcPr>
          <w:p w14:paraId="2853DBDF">
            <w:pPr>
              <w:rPr>
                <w:rFonts w:ascii="Arial"/>
                <w:sz w:val="21"/>
              </w:rPr>
            </w:pPr>
          </w:p>
        </w:tc>
        <w:tc>
          <w:tcPr>
            <w:tcW w:w="2564" w:type="dxa"/>
            <w:vAlign w:val="top"/>
          </w:tcPr>
          <w:p w14:paraId="329015BC">
            <w:pPr>
              <w:spacing w:before="184"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68E9EA0A">
            <w:pPr>
              <w:spacing w:before="183" w:line="196" w:lineRule="auto"/>
              <w:ind w:left="1137"/>
              <w:rPr>
                <w:rFonts w:ascii="Arial" w:hAnsi="Arial" w:eastAsia="Arial" w:cs="Arial"/>
                <w:sz w:val="18"/>
                <w:szCs w:val="18"/>
              </w:rPr>
            </w:pPr>
            <w:r>
              <w:rPr>
                <w:rFonts w:ascii="Arial" w:hAnsi="Arial" w:eastAsia="Arial" w:cs="Arial"/>
                <w:color w:val="333333"/>
                <w:spacing w:val="-1"/>
                <w:sz w:val="18"/>
                <w:szCs w:val="18"/>
              </w:rPr>
              <w:t>400</w:t>
            </w:r>
          </w:p>
        </w:tc>
        <w:tc>
          <w:tcPr>
            <w:tcW w:w="1021" w:type="dxa"/>
            <w:vAlign w:val="top"/>
          </w:tcPr>
          <w:p w14:paraId="7D83FDB6">
            <w:pPr>
              <w:spacing w:before="183"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00D70D1D">
            <w:pPr>
              <w:spacing w:line="270" w:lineRule="auto"/>
              <w:rPr>
                <w:rFonts w:ascii="Arial"/>
                <w:sz w:val="21"/>
              </w:rPr>
            </w:pPr>
          </w:p>
          <w:p w14:paraId="197D72FB">
            <w:pPr>
              <w:spacing w:before="52"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00B2186A">
            <w:pPr>
              <w:spacing w:line="270" w:lineRule="auto"/>
              <w:rPr>
                <w:rFonts w:ascii="Arial"/>
                <w:sz w:val="21"/>
              </w:rPr>
            </w:pPr>
          </w:p>
          <w:p w14:paraId="0D6CAFFB">
            <w:pPr>
              <w:spacing w:before="52"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02C9FDAD">
            <w:pPr>
              <w:spacing w:line="270" w:lineRule="auto"/>
              <w:rPr>
                <w:rFonts w:ascii="Arial"/>
                <w:sz w:val="21"/>
              </w:rPr>
            </w:pPr>
          </w:p>
          <w:p w14:paraId="4A6B5FFC">
            <w:pPr>
              <w:spacing w:before="52"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0D6C18F1">
            <w:pPr>
              <w:spacing w:line="270" w:lineRule="auto"/>
              <w:rPr>
                <w:rFonts w:ascii="Arial"/>
                <w:sz w:val="21"/>
              </w:rPr>
            </w:pPr>
          </w:p>
          <w:p w14:paraId="291B4AB2">
            <w:pPr>
              <w:spacing w:before="52"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043EF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restart"/>
            <w:tcBorders>
              <w:bottom w:val="nil"/>
            </w:tcBorders>
            <w:vAlign w:val="top"/>
          </w:tcPr>
          <w:p w14:paraId="1490DC7B">
            <w:pPr>
              <w:spacing w:line="278" w:lineRule="auto"/>
              <w:rPr>
                <w:rFonts w:ascii="Arial"/>
                <w:sz w:val="21"/>
              </w:rPr>
            </w:pPr>
          </w:p>
          <w:p w14:paraId="500C67A4">
            <w:pPr>
              <w:spacing w:line="278" w:lineRule="auto"/>
              <w:rPr>
                <w:rFonts w:ascii="Arial"/>
                <w:sz w:val="21"/>
              </w:rPr>
            </w:pPr>
          </w:p>
          <w:p w14:paraId="3FE66570">
            <w:pPr>
              <w:spacing w:line="278" w:lineRule="auto"/>
              <w:rPr>
                <w:rFonts w:ascii="Arial"/>
                <w:sz w:val="21"/>
              </w:rPr>
            </w:pPr>
          </w:p>
          <w:p w14:paraId="44E0926A">
            <w:pPr>
              <w:spacing w:before="52" w:line="196" w:lineRule="auto"/>
              <w:ind w:left="227"/>
              <w:rPr>
                <w:rFonts w:ascii="Arial" w:hAnsi="Arial" w:eastAsia="Arial" w:cs="Arial"/>
                <w:sz w:val="18"/>
                <w:szCs w:val="18"/>
              </w:rPr>
            </w:pPr>
            <w:r>
              <w:rPr>
                <w:rFonts w:ascii="Arial" w:hAnsi="Arial" w:eastAsia="Arial" w:cs="Arial"/>
                <w:color w:val="333333"/>
                <w:sz w:val="18"/>
                <w:szCs w:val="18"/>
              </w:rPr>
              <w:t>9</w:t>
            </w:r>
          </w:p>
        </w:tc>
        <w:tc>
          <w:tcPr>
            <w:tcW w:w="620" w:type="dxa"/>
            <w:vMerge w:val="restart"/>
            <w:tcBorders>
              <w:bottom w:val="nil"/>
            </w:tcBorders>
            <w:vAlign w:val="top"/>
          </w:tcPr>
          <w:p w14:paraId="54E51CCC">
            <w:pPr>
              <w:spacing w:line="275" w:lineRule="auto"/>
              <w:rPr>
                <w:rFonts w:ascii="Arial"/>
                <w:sz w:val="21"/>
              </w:rPr>
            </w:pPr>
          </w:p>
          <w:p w14:paraId="769367E7">
            <w:pPr>
              <w:spacing w:line="275" w:lineRule="auto"/>
              <w:rPr>
                <w:rFonts w:ascii="Arial"/>
                <w:sz w:val="21"/>
              </w:rPr>
            </w:pPr>
          </w:p>
          <w:p w14:paraId="1AE7972D">
            <w:pPr>
              <w:spacing w:line="276" w:lineRule="auto"/>
              <w:rPr>
                <w:rFonts w:ascii="Arial"/>
                <w:sz w:val="21"/>
              </w:rPr>
            </w:pPr>
          </w:p>
          <w:p w14:paraId="5E501042">
            <w:pPr>
              <w:spacing w:before="59" w:line="219" w:lineRule="auto"/>
              <w:ind w:left="66"/>
              <w:rPr>
                <w:rFonts w:ascii="宋体" w:hAnsi="宋体" w:eastAsia="宋体" w:cs="宋体"/>
                <w:sz w:val="18"/>
                <w:szCs w:val="18"/>
              </w:rPr>
            </w:pPr>
            <w:r>
              <w:rPr>
                <w:rFonts w:ascii="宋体" w:hAnsi="宋体" w:eastAsia="宋体" w:cs="宋体"/>
                <w:color w:val="333333"/>
                <w:spacing w:val="-7"/>
                <w:sz w:val="18"/>
                <w:szCs w:val="18"/>
              </w:rPr>
              <w:t>黑龙江</w:t>
            </w:r>
          </w:p>
        </w:tc>
        <w:tc>
          <w:tcPr>
            <w:tcW w:w="2564" w:type="dxa"/>
            <w:vAlign w:val="top"/>
          </w:tcPr>
          <w:p w14:paraId="7A7C5D6C">
            <w:pPr>
              <w:spacing w:before="184" w:line="219" w:lineRule="auto"/>
              <w:ind w:left="965"/>
              <w:rPr>
                <w:rFonts w:ascii="宋体" w:hAnsi="宋体" w:eastAsia="宋体" w:cs="宋体"/>
                <w:sz w:val="18"/>
                <w:szCs w:val="18"/>
              </w:rPr>
            </w:pPr>
            <w:r>
              <w:rPr>
                <w:rFonts w:ascii="宋体" w:hAnsi="宋体" w:eastAsia="宋体" w:cs="宋体"/>
                <w:color w:val="333333"/>
                <w:spacing w:val="-8"/>
                <w:sz w:val="18"/>
                <w:szCs w:val="18"/>
              </w:rPr>
              <w:t>哈尔滨市</w:t>
            </w:r>
          </w:p>
        </w:tc>
        <w:tc>
          <w:tcPr>
            <w:tcW w:w="2564" w:type="dxa"/>
            <w:vAlign w:val="top"/>
          </w:tcPr>
          <w:p w14:paraId="7D338B60">
            <w:pPr>
              <w:spacing w:before="183"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Align w:val="top"/>
          </w:tcPr>
          <w:p w14:paraId="14A8B28E">
            <w:pPr>
              <w:spacing w:before="183"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67A07DC1">
            <w:pPr>
              <w:spacing w:before="184" w:line="219" w:lineRule="auto"/>
              <w:ind w:left="194"/>
              <w:rPr>
                <w:rFonts w:ascii="宋体" w:hAnsi="宋体" w:eastAsia="宋体" w:cs="宋体"/>
                <w:sz w:val="18"/>
                <w:szCs w:val="18"/>
              </w:rPr>
            </w:pPr>
            <w:r>
              <w:rPr>
                <w:rFonts w:ascii="宋体" w:hAnsi="宋体" w:eastAsia="宋体" w:cs="宋体"/>
                <w:color w:val="333333"/>
                <w:spacing w:val="-8"/>
                <w:sz w:val="18"/>
                <w:szCs w:val="18"/>
              </w:rPr>
              <w:t>哈尔滨市</w:t>
            </w:r>
          </w:p>
        </w:tc>
        <w:tc>
          <w:tcPr>
            <w:tcW w:w="991" w:type="dxa"/>
            <w:vAlign w:val="top"/>
          </w:tcPr>
          <w:p w14:paraId="17C7BEA1">
            <w:pPr>
              <w:spacing w:before="184" w:line="219" w:lineRule="auto"/>
              <w:ind w:left="315"/>
              <w:rPr>
                <w:rFonts w:ascii="宋体" w:hAnsi="宋体" w:eastAsia="宋体" w:cs="宋体"/>
                <w:sz w:val="18"/>
                <w:szCs w:val="18"/>
              </w:rPr>
            </w:pPr>
            <w:r>
              <w:rPr>
                <w:rFonts w:ascii="Arial" w:hAnsi="Arial" w:eastAsia="Arial" w:cs="Arial"/>
                <w:color w:val="333333"/>
                <w:spacing w:val="-4"/>
                <w:sz w:val="18"/>
                <w:szCs w:val="18"/>
              </w:rPr>
              <w:t>7-9</w:t>
            </w:r>
            <w:r>
              <w:rPr>
                <w:rFonts w:ascii="宋体" w:hAnsi="宋体" w:eastAsia="宋体" w:cs="宋体"/>
                <w:color w:val="333333"/>
                <w:spacing w:val="-4"/>
                <w:sz w:val="18"/>
                <w:szCs w:val="18"/>
              </w:rPr>
              <w:t>月</w:t>
            </w:r>
          </w:p>
        </w:tc>
        <w:tc>
          <w:tcPr>
            <w:tcW w:w="990" w:type="dxa"/>
            <w:vAlign w:val="top"/>
          </w:tcPr>
          <w:p w14:paraId="0E5B9AC9">
            <w:pPr>
              <w:spacing w:before="183" w:line="196" w:lineRule="auto"/>
              <w:ind w:left="384"/>
              <w:rPr>
                <w:rFonts w:ascii="Arial" w:hAnsi="Arial" w:eastAsia="Arial" w:cs="Arial"/>
                <w:sz w:val="18"/>
                <w:szCs w:val="18"/>
              </w:rPr>
            </w:pPr>
            <w:r>
              <w:rPr>
                <w:rFonts w:ascii="Arial" w:hAnsi="Arial" w:eastAsia="Arial" w:cs="Arial"/>
                <w:color w:val="333333"/>
                <w:spacing w:val="-4"/>
                <w:sz w:val="18"/>
                <w:szCs w:val="18"/>
              </w:rPr>
              <w:t>540</w:t>
            </w:r>
          </w:p>
        </w:tc>
        <w:tc>
          <w:tcPr>
            <w:tcW w:w="1012" w:type="dxa"/>
            <w:vAlign w:val="top"/>
          </w:tcPr>
          <w:p w14:paraId="4C7CFA4E">
            <w:pPr>
              <w:spacing w:before="183" w:line="196" w:lineRule="auto"/>
              <w:ind w:left="373"/>
              <w:rPr>
                <w:rFonts w:ascii="Arial" w:hAnsi="Arial" w:eastAsia="Arial" w:cs="Arial"/>
                <w:sz w:val="18"/>
                <w:szCs w:val="18"/>
              </w:rPr>
            </w:pPr>
            <w:r>
              <w:rPr>
                <w:rFonts w:ascii="Arial" w:hAnsi="Arial" w:eastAsia="Arial" w:cs="Arial"/>
                <w:color w:val="333333"/>
                <w:spacing w:val="-2"/>
                <w:sz w:val="18"/>
                <w:szCs w:val="18"/>
              </w:rPr>
              <w:t>420</w:t>
            </w:r>
          </w:p>
        </w:tc>
      </w:tr>
      <w:tr w14:paraId="6DA40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513" w:type="dxa"/>
            <w:vMerge w:val="continue"/>
            <w:tcBorders>
              <w:top w:val="nil"/>
            </w:tcBorders>
            <w:vAlign w:val="top"/>
          </w:tcPr>
          <w:p w14:paraId="148420CE">
            <w:pPr>
              <w:rPr>
                <w:rFonts w:ascii="Arial"/>
                <w:sz w:val="21"/>
              </w:rPr>
            </w:pPr>
          </w:p>
        </w:tc>
        <w:tc>
          <w:tcPr>
            <w:tcW w:w="620" w:type="dxa"/>
            <w:vMerge w:val="continue"/>
            <w:tcBorders>
              <w:top w:val="nil"/>
            </w:tcBorders>
            <w:vAlign w:val="top"/>
          </w:tcPr>
          <w:p w14:paraId="55B19545">
            <w:pPr>
              <w:rPr>
                <w:rFonts w:ascii="Arial"/>
                <w:sz w:val="21"/>
              </w:rPr>
            </w:pPr>
          </w:p>
        </w:tc>
        <w:tc>
          <w:tcPr>
            <w:tcW w:w="2564" w:type="dxa"/>
            <w:vAlign w:val="top"/>
          </w:tcPr>
          <w:p w14:paraId="3780FD4C">
            <w:pPr>
              <w:spacing w:line="296" w:lineRule="auto"/>
              <w:rPr>
                <w:rFonts w:ascii="Arial"/>
                <w:sz w:val="21"/>
              </w:rPr>
            </w:pPr>
          </w:p>
          <w:p w14:paraId="089FC7BA">
            <w:pPr>
              <w:spacing w:line="296" w:lineRule="auto"/>
              <w:rPr>
                <w:rFonts w:ascii="Arial"/>
                <w:sz w:val="21"/>
              </w:rPr>
            </w:pPr>
          </w:p>
          <w:p w14:paraId="697331DC">
            <w:pPr>
              <w:spacing w:before="59"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53AA3ABB">
            <w:pPr>
              <w:spacing w:line="301" w:lineRule="auto"/>
              <w:rPr>
                <w:rFonts w:ascii="Arial"/>
                <w:sz w:val="21"/>
              </w:rPr>
            </w:pPr>
          </w:p>
          <w:p w14:paraId="66F72BA9">
            <w:pPr>
              <w:spacing w:line="302" w:lineRule="auto"/>
              <w:rPr>
                <w:rFonts w:ascii="Arial"/>
                <w:sz w:val="21"/>
              </w:rPr>
            </w:pPr>
          </w:p>
          <w:p w14:paraId="0BFA5F19">
            <w:pPr>
              <w:spacing w:before="52"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Align w:val="top"/>
          </w:tcPr>
          <w:p w14:paraId="6F0509A2">
            <w:pPr>
              <w:spacing w:line="301" w:lineRule="auto"/>
              <w:rPr>
                <w:rFonts w:ascii="Arial"/>
                <w:sz w:val="21"/>
              </w:rPr>
            </w:pPr>
          </w:p>
          <w:p w14:paraId="4684FF8F">
            <w:pPr>
              <w:spacing w:line="302" w:lineRule="auto"/>
              <w:rPr>
                <w:rFonts w:ascii="Arial"/>
                <w:sz w:val="21"/>
              </w:rPr>
            </w:pPr>
          </w:p>
          <w:p w14:paraId="62B5B757">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2619DBB1">
            <w:pPr>
              <w:spacing w:before="217" w:line="223" w:lineRule="auto"/>
              <w:ind w:left="74" w:right="28"/>
              <w:rPr>
                <w:rFonts w:ascii="宋体" w:hAnsi="宋体" w:eastAsia="宋体" w:cs="宋体"/>
                <w:sz w:val="18"/>
                <w:szCs w:val="18"/>
              </w:rPr>
            </w:pPr>
            <w:r>
              <w:rPr>
                <w:rFonts w:ascii="宋体" w:hAnsi="宋体" w:eastAsia="宋体" w:cs="宋体"/>
                <w:color w:val="333333"/>
                <w:spacing w:val="-4"/>
                <w:sz w:val="18"/>
                <w:szCs w:val="18"/>
              </w:rPr>
              <w:t>牡丹江市、</w:t>
            </w:r>
            <w:r>
              <w:rPr>
                <w:rFonts w:ascii="宋体" w:hAnsi="宋体" w:eastAsia="宋体" w:cs="宋体"/>
                <w:color w:val="333333"/>
                <w:sz w:val="18"/>
                <w:szCs w:val="18"/>
              </w:rPr>
              <w:t xml:space="preserve"> </w:t>
            </w:r>
            <w:r>
              <w:rPr>
                <w:rFonts w:ascii="宋体" w:hAnsi="宋体" w:eastAsia="宋体" w:cs="宋体"/>
                <w:color w:val="333333"/>
                <w:spacing w:val="-4"/>
                <w:sz w:val="18"/>
                <w:szCs w:val="18"/>
              </w:rPr>
              <w:t>伊春市、大</w:t>
            </w:r>
            <w:r>
              <w:rPr>
                <w:rFonts w:ascii="宋体" w:hAnsi="宋体" w:eastAsia="宋体" w:cs="宋体"/>
                <w:color w:val="333333"/>
                <w:sz w:val="18"/>
                <w:szCs w:val="18"/>
              </w:rPr>
              <w:t xml:space="preserve"> </w:t>
            </w:r>
            <w:r>
              <w:rPr>
                <w:rFonts w:ascii="宋体" w:hAnsi="宋体" w:eastAsia="宋体" w:cs="宋体"/>
                <w:color w:val="333333"/>
                <w:spacing w:val="-4"/>
                <w:sz w:val="18"/>
                <w:szCs w:val="18"/>
              </w:rPr>
              <w:t>兴安岭地区</w:t>
            </w:r>
            <w:r>
              <w:rPr>
                <w:rFonts w:ascii="宋体" w:hAnsi="宋体" w:eastAsia="宋体" w:cs="宋体"/>
                <w:color w:val="333333"/>
                <w:sz w:val="18"/>
                <w:szCs w:val="18"/>
              </w:rPr>
              <w:t xml:space="preserve"> </w:t>
            </w:r>
            <w:r>
              <w:rPr>
                <w:rFonts w:ascii="宋体" w:hAnsi="宋体" w:eastAsia="宋体" w:cs="宋体"/>
                <w:color w:val="333333"/>
                <w:spacing w:val="-4"/>
                <w:sz w:val="18"/>
                <w:szCs w:val="18"/>
              </w:rPr>
              <w:t>、黑河市、</w:t>
            </w:r>
          </w:p>
          <w:p w14:paraId="7CCC7E3B">
            <w:pPr>
              <w:spacing w:before="13" w:line="219" w:lineRule="auto"/>
              <w:ind w:left="169"/>
              <w:rPr>
                <w:rFonts w:ascii="宋体" w:hAnsi="宋体" w:eastAsia="宋体" w:cs="宋体"/>
                <w:sz w:val="18"/>
                <w:szCs w:val="18"/>
              </w:rPr>
            </w:pPr>
            <w:r>
              <w:rPr>
                <w:rFonts w:ascii="宋体" w:hAnsi="宋体" w:eastAsia="宋体" w:cs="宋体"/>
                <w:color w:val="333333"/>
                <w:spacing w:val="-4"/>
                <w:sz w:val="18"/>
                <w:szCs w:val="18"/>
              </w:rPr>
              <w:t>佳木斯市</w:t>
            </w:r>
          </w:p>
        </w:tc>
        <w:tc>
          <w:tcPr>
            <w:tcW w:w="991" w:type="dxa"/>
            <w:vAlign w:val="top"/>
          </w:tcPr>
          <w:p w14:paraId="27679F40">
            <w:pPr>
              <w:spacing w:line="297" w:lineRule="auto"/>
              <w:rPr>
                <w:rFonts w:ascii="Arial"/>
                <w:sz w:val="21"/>
              </w:rPr>
            </w:pPr>
          </w:p>
          <w:p w14:paraId="5FFDED96">
            <w:pPr>
              <w:spacing w:line="298" w:lineRule="auto"/>
              <w:rPr>
                <w:rFonts w:ascii="Arial"/>
                <w:sz w:val="21"/>
              </w:rPr>
            </w:pPr>
          </w:p>
          <w:p w14:paraId="6DA20B92">
            <w:pPr>
              <w:spacing w:before="59" w:line="219" w:lineRule="auto"/>
              <w:ind w:left="309"/>
              <w:rPr>
                <w:rFonts w:ascii="宋体" w:hAnsi="宋体" w:eastAsia="宋体" w:cs="宋体"/>
                <w:sz w:val="18"/>
                <w:szCs w:val="18"/>
              </w:rPr>
            </w:pPr>
            <w:r>
              <w:rPr>
                <w:rFonts w:ascii="Arial" w:hAnsi="Arial" w:eastAsia="Arial" w:cs="Arial"/>
                <w:color w:val="333333"/>
                <w:spacing w:val="-3"/>
                <w:sz w:val="18"/>
                <w:szCs w:val="18"/>
              </w:rPr>
              <w:t>6-8</w:t>
            </w:r>
            <w:r>
              <w:rPr>
                <w:rFonts w:ascii="宋体" w:hAnsi="宋体" w:eastAsia="宋体" w:cs="宋体"/>
                <w:color w:val="333333"/>
                <w:spacing w:val="-3"/>
                <w:sz w:val="18"/>
                <w:szCs w:val="18"/>
              </w:rPr>
              <w:t>月</w:t>
            </w:r>
          </w:p>
        </w:tc>
        <w:tc>
          <w:tcPr>
            <w:tcW w:w="990" w:type="dxa"/>
            <w:vAlign w:val="top"/>
          </w:tcPr>
          <w:p w14:paraId="388831D7">
            <w:pPr>
              <w:spacing w:line="301" w:lineRule="auto"/>
              <w:rPr>
                <w:rFonts w:ascii="Arial"/>
                <w:sz w:val="21"/>
              </w:rPr>
            </w:pPr>
          </w:p>
          <w:p w14:paraId="63080173">
            <w:pPr>
              <w:spacing w:line="302" w:lineRule="auto"/>
              <w:rPr>
                <w:rFonts w:ascii="Arial"/>
                <w:sz w:val="21"/>
              </w:rPr>
            </w:pPr>
          </w:p>
          <w:p w14:paraId="31236795">
            <w:pPr>
              <w:spacing w:before="52" w:line="196" w:lineRule="auto"/>
              <w:ind w:left="384"/>
              <w:rPr>
                <w:rFonts w:ascii="Arial" w:hAnsi="Arial" w:eastAsia="Arial" w:cs="Arial"/>
                <w:sz w:val="18"/>
                <w:szCs w:val="18"/>
              </w:rPr>
            </w:pPr>
            <w:r>
              <w:rPr>
                <w:rFonts w:ascii="Arial" w:hAnsi="Arial" w:eastAsia="Arial" w:cs="Arial"/>
                <w:color w:val="333333"/>
                <w:spacing w:val="-4"/>
                <w:sz w:val="18"/>
                <w:szCs w:val="18"/>
              </w:rPr>
              <w:t>540</w:t>
            </w:r>
          </w:p>
        </w:tc>
        <w:tc>
          <w:tcPr>
            <w:tcW w:w="1012" w:type="dxa"/>
            <w:vAlign w:val="top"/>
          </w:tcPr>
          <w:p w14:paraId="41A030C5">
            <w:pPr>
              <w:spacing w:line="301" w:lineRule="auto"/>
              <w:rPr>
                <w:rFonts w:ascii="Arial"/>
                <w:sz w:val="21"/>
              </w:rPr>
            </w:pPr>
          </w:p>
          <w:p w14:paraId="62844A34">
            <w:pPr>
              <w:spacing w:line="302" w:lineRule="auto"/>
              <w:rPr>
                <w:rFonts w:ascii="Arial"/>
                <w:sz w:val="21"/>
              </w:rPr>
            </w:pPr>
          </w:p>
          <w:p w14:paraId="62009121">
            <w:pPr>
              <w:spacing w:before="52" w:line="196" w:lineRule="auto"/>
              <w:ind w:left="387"/>
              <w:rPr>
                <w:rFonts w:ascii="Arial" w:hAnsi="Arial" w:eastAsia="Arial" w:cs="Arial"/>
                <w:sz w:val="18"/>
                <w:szCs w:val="18"/>
              </w:rPr>
            </w:pPr>
            <w:r>
              <w:rPr>
                <w:rFonts w:ascii="Arial" w:hAnsi="Arial" w:eastAsia="Arial" w:cs="Arial"/>
                <w:color w:val="333333"/>
                <w:spacing w:val="-4"/>
                <w:sz w:val="18"/>
                <w:szCs w:val="18"/>
              </w:rPr>
              <w:t>360</w:t>
            </w:r>
          </w:p>
        </w:tc>
      </w:tr>
    </w:tbl>
    <w:p w14:paraId="49ED6FD5">
      <w:pPr>
        <w:rPr>
          <w:rFonts w:ascii="Arial"/>
          <w:sz w:val="21"/>
        </w:rPr>
      </w:pPr>
    </w:p>
    <w:p w14:paraId="24EA2839">
      <w:pPr>
        <w:rPr>
          <w:rFonts w:ascii="Arial" w:hAnsi="Arial" w:eastAsia="Arial" w:cs="Arial"/>
          <w:sz w:val="21"/>
          <w:szCs w:val="21"/>
        </w:rPr>
        <w:sectPr>
          <w:pgSz w:w="11905" w:h="16837"/>
          <w:pgMar w:top="400" w:right="307" w:bottom="400" w:left="327" w:header="0" w:footer="397" w:gutter="0"/>
          <w:pgNumType w:fmt="decimal"/>
          <w:cols w:space="720" w:num="1"/>
        </w:sectPr>
      </w:pPr>
    </w:p>
    <w:p w14:paraId="2A1C4721">
      <w:pPr>
        <w:spacing w:line="210" w:lineRule="exact"/>
      </w:pPr>
      <w:r>
        <w:pict>
          <v:shape id="_x0000_s1028" o:spid="_x0000_s1028" o:spt="202" type="#_x0000_t202" style="position:absolute;left:0pt;margin-left:78.75pt;margin-top:776.45pt;height:12.7pt;width:119.05pt;mso-position-horizontal-relative:page;mso-position-vertical-relative:page;z-index:251678720;mso-width-relative:page;mso-height-relative:page;" filled="f" stroked="f" coordsize="21600,21600" o:allowincell="f">
            <v:path/>
            <v:fill on="f" focussize="0,0"/>
            <v:stroke on="f"/>
            <v:imagedata o:title=""/>
            <o:lock v:ext="edit" aspectratio="f"/>
            <v:textbox inset="0mm,0mm,0mm,0mm">
              <w:txbxContent>
                <w:p w14:paraId="04E719D5">
                  <w:pPr>
                    <w:pStyle w:val="2"/>
                    <w:spacing w:before="19" w:line="219" w:lineRule="auto"/>
                    <w:ind w:left="20"/>
                    <w:rPr>
                      <w:sz w:val="18"/>
                      <w:szCs w:val="18"/>
                    </w:rPr>
                  </w:pPr>
                  <w:r>
                    <w:rPr>
                      <w:color w:val="333333"/>
                      <w:spacing w:val="-3"/>
                      <w:sz w:val="18"/>
                      <w:szCs w:val="18"/>
                    </w:rPr>
                    <w:t>海口市  三沙市  儋州市</w:t>
                  </w:r>
                  <w:r>
                    <w:rPr>
                      <w:color w:val="333333"/>
                      <w:spacing w:val="25"/>
                      <w:sz w:val="18"/>
                      <w:szCs w:val="18"/>
                    </w:rPr>
                    <w:t xml:space="preserve">  </w:t>
                  </w:r>
                  <w:r>
                    <w:rPr>
                      <w:color w:val="333333"/>
                      <w:spacing w:val="-3"/>
                      <w:sz w:val="18"/>
                      <w:szCs w:val="18"/>
                    </w:rPr>
                    <w:t>五</w:t>
                  </w:r>
                </w:p>
              </w:txbxContent>
            </v:textbox>
          </v:shape>
        </w:pict>
      </w:r>
    </w:p>
    <w:tbl>
      <w:tblPr>
        <w:tblStyle w:val="6"/>
        <w:tblW w:w="112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620"/>
        <w:gridCol w:w="2564"/>
        <w:gridCol w:w="2564"/>
        <w:gridCol w:w="1021"/>
        <w:gridCol w:w="990"/>
        <w:gridCol w:w="991"/>
        <w:gridCol w:w="990"/>
        <w:gridCol w:w="1012"/>
      </w:tblGrid>
      <w:tr w14:paraId="46C7D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513" w:type="dxa"/>
            <w:vAlign w:val="top"/>
          </w:tcPr>
          <w:p w14:paraId="5F574E93">
            <w:pPr>
              <w:spacing w:before="181" w:line="196" w:lineRule="auto"/>
              <w:ind w:left="215"/>
              <w:rPr>
                <w:rFonts w:ascii="Arial" w:hAnsi="Arial" w:eastAsia="Arial" w:cs="Arial"/>
                <w:sz w:val="18"/>
                <w:szCs w:val="18"/>
              </w:rPr>
            </w:pPr>
            <w:r>
              <w:rPr>
                <w:rFonts w:ascii="Arial" w:hAnsi="Arial" w:eastAsia="Arial" w:cs="Arial"/>
                <w:color w:val="333333"/>
                <w:spacing w:val="-10"/>
                <w:sz w:val="18"/>
                <w:szCs w:val="18"/>
              </w:rPr>
              <w:t>10</w:t>
            </w:r>
          </w:p>
        </w:tc>
        <w:tc>
          <w:tcPr>
            <w:tcW w:w="620" w:type="dxa"/>
            <w:vAlign w:val="top"/>
          </w:tcPr>
          <w:p w14:paraId="2AABDC26">
            <w:pPr>
              <w:spacing w:before="181" w:line="221" w:lineRule="auto"/>
              <w:ind w:left="147"/>
              <w:rPr>
                <w:rFonts w:ascii="宋体" w:hAnsi="宋体" w:eastAsia="宋体" w:cs="宋体"/>
                <w:sz w:val="18"/>
                <w:szCs w:val="18"/>
              </w:rPr>
            </w:pPr>
            <w:r>
              <w:rPr>
                <w:rFonts w:ascii="宋体" w:hAnsi="宋体" w:eastAsia="宋体" w:cs="宋体"/>
                <w:color w:val="333333"/>
                <w:spacing w:val="-5"/>
                <w:sz w:val="18"/>
                <w:szCs w:val="18"/>
              </w:rPr>
              <w:t>上海</w:t>
            </w:r>
          </w:p>
        </w:tc>
        <w:tc>
          <w:tcPr>
            <w:tcW w:w="2564" w:type="dxa"/>
            <w:vAlign w:val="top"/>
          </w:tcPr>
          <w:p w14:paraId="70E4F2EA">
            <w:pPr>
              <w:spacing w:before="179" w:line="219" w:lineRule="auto"/>
              <w:ind w:left="1117"/>
              <w:rPr>
                <w:rFonts w:ascii="宋体" w:hAnsi="宋体" w:eastAsia="宋体" w:cs="宋体"/>
                <w:sz w:val="18"/>
                <w:szCs w:val="18"/>
              </w:rPr>
            </w:pPr>
            <w:r>
              <w:rPr>
                <w:rFonts w:ascii="宋体" w:hAnsi="宋体" w:eastAsia="宋体" w:cs="宋体"/>
                <w:color w:val="333333"/>
                <w:spacing w:val="-4"/>
                <w:sz w:val="18"/>
                <w:szCs w:val="18"/>
              </w:rPr>
              <w:t>全市</w:t>
            </w:r>
          </w:p>
        </w:tc>
        <w:tc>
          <w:tcPr>
            <w:tcW w:w="2564" w:type="dxa"/>
            <w:vAlign w:val="top"/>
          </w:tcPr>
          <w:p w14:paraId="7F9B3F77">
            <w:pPr>
              <w:spacing w:before="181" w:line="196" w:lineRule="auto"/>
              <w:ind w:left="1152"/>
              <w:rPr>
                <w:rFonts w:ascii="Arial" w:hAnsi="Arial" w:eastAsia="Arial" w:cs="Arial"/>
                <w:sz w:val="18"/>
                <w:szCs w:val="18"/>
              </w:rPr>
            </w:pPr>
            <w:r>
              <w:rPr>
                <w:rFonts w:ascii="Arial" w:hAnsi="Arial" w:eastAsia="Arial" w:cs="Arial"/>
                <w:color w:val="333333"/>
                <w:spacing w:val="-3"/>
                <w:sz w:val="18"/>
                <w:szCs w:val="18"/>
              </w:rPr>
              <w:t>600</w:t>
            </w:r>
          </w:p>
        </w:tc>
        <w:tc>
          <w:tcPr>
            <w:tcW w:w="1021" w:type="dxa"/>
            <w:vAlign w:val="top"/>
          </w:tcPr>
          <w:p w14:paraId="7ED07EE6">
            <w:pPr>
              <w:spacing w:before="181" w:line="196" w:lineRule="auto"/>
              <w:ind w:left="386"/>
              <w:rPr>
                <w:rFonts w:ascii="Arial" w:hAnsi="Arial" w:eastAsia="Arial" w:cs="Arial"/>
                <w:sz w:val="18"/>
                <w:szCs w:val="18"/>
              </w:rPr>
            </w:pPr>
            <w:r>
              <w:rPr>
                <w:rFonts w:ascii="Arial" w:hAnsi="Arial" w:eastAsia="Arial" w:cs="Arial"/>
                <w:color w:val="333333"/>
                <w:spacing w:val="-4"/>
                <w:sz w:val="18"/>
                <w:szCs w:val="18"/>
              </w:rPr>
              <w:t>500</w:t>
            </w:r>
          </w:p>
        </w:tc>
        <w:tc>
          <w:tcPr>
            <w:tcW w:w="990" w:type="dxa"/>
            <w:vAlign w:val="top"/>
          </w:tcPr>
          <w:p w14:paraId="3250806A">
            <w:pPr>
              <w:spacing w:line="268" w:lineRule="auto"/>
              <w:rPr>
                <w:rFonts w:ascii="Arial"/>
                <w:sz w:val="21"/>
              </w:rPr>
            </w:pPr>
          </w:p>
          <w:p w14:paraId="107B0402">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0A3BAF3A">
            <w:pPr>
              <w:spacing w:line="268" w:lineRule="auto"/>
              <w:rPr>
                <w:rFonts w:ascii="Arial"/>
                <w:sz w:val="21"/>
              </w:rPr>
            </w:pPr>
          </w:p>
          <w:p w14:paraId="1AB9E2AA">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C447D9A">
            <w:pPr>
              <w:spacing w:line="268" w:lineRule="auto"/>
              <w:rPr>
                <w:rFonts w:ascii="Arial"/>
                <w:sz w:val="21"/>
              </w:rPr>
            </w:pPr>
          </w:p>
          <w:p w14:paraId="1AD03420">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54CEA440">
            <w:pPr>
              <w:spacing w:line="268" w:lineRule="auto"/>
              <w:rPr>
                <w:rFonts w:ascii="Arial"/>
                <w:sz w:val="21"/>
              </w:rPr>
            </w:pPr>
          </w:p>
          <w:p w14:paraId="0B249B4E">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42168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13" w:type="dxa"/>
            <w:vMerge w:val="restart"/>
            <w:tcBorders>
              <w:bottom w:val="nil"/>
            </w:tcBorders>
            <w:vAlign w:val="top"/>
          </w:tcPr>
          <w:p w14:paraId="523579FD">
            <w:pPr>
              <w:spacing w:line="262" w:lineRule="auto"/>
              <w:rPr>
                <w:rFonts w:ascii="Arial"/>
                <w:sz w:val="21"/>
              </w:rPr>
            </w:pPr>
          </w:p>
          <w:p w14:paraId="1B13242A">
            <w:pPr>
              <w:spacing w:line="263" w:lineRule="auto"/>
              <w:rPr>
                <w:rFonts w:ascii="Arial"/>
                <w:sz w:val="21"/>
              </w:rPr>
            </w:pPr>
          </w:p>
          <w:p w14:paraId="1EAA5FFE">
            <w:pPr>
              <w:spacing w:before="52" w:line="197" w:lineRule="auto"/>
              <w:ind w:left="215"/>
              <w:rPr>
                <w:rFonts w:ascii="Arial" w:hAnsi="Arial" w:eastAsia="Arial" w:cs="Arial"/>
                <w:sz w:val="18"/>
                <w:szCs w:val="18"/>
              </w:rPr>
            </w:pPr>
            <w:r>
              <w:rPr>
                <w:rFonts w:ascii="Arial" w:hAnsi="Arial" w:eastAsia="Arial" w:cs="Arial"/>
                <w:color w:val="333333"/>
                <w:spacing w:val="-10"/>
                <w:sz w:val="18"/>
                <w:szCs w:val="18"/>
              </w:rPr>
              <w:t>11</w:t>
            </w:r>
          </w:p>
        </w:tc>
        <w:tc>
          <w:tcPr>
            <w:tcW w:w="620" w:type="dxa"/>
            <w:vMerge w:val="restart"/>
            <w:tcBorders>
              <w:bottom w:val="nil"/>
            </w:tcBorders>
            <w:vAlign w:val="top"/>
          </w:tcPr>
          <w:p w14:paraId="58ECC080">
            <w:pPr>
              <w:spacing w:line="256" w:lineRule="auto"/>
              <w:rPr>
                <w:rFonts w:ascii="Arial"/>
                <w:sz w:val="21"/>
              </w:rPr>
            </w:pPr>
          </w:p>
          <w:p w14:paraId="0B8AF78F">
            <w:pPr>
              <w:spacing w:line="257" w:lineRule="auto"/>
              <w:rPr>
                <w:rFonts w:ascii="Arial"/>
                <w:sz w:val="21"/>
              </w:rPr>
            </w:pPr>
          </w:p>
          <w:p w14:paraId="7C7DF6D0">
            <w:pPr>
              <w:spacing w:before="58" w:line="220" w:lineRule="auto"/>
              <w:ind w:left="144"/>
              <w:rPr>
                <w:rFonts w:ascii="宋体" w:hAnsi="宋体" w:eastAsia="宋体" w:cs="宋体"/>
                <w:sz w:val="18"/>
                <w:szCs w:val="18"/>
              </w:rPr>
            </w:pPr>
            <w:r>
              <w:rPr>
                <w:rFonts w:ascii="宋体" w:hAnsi="宋体" w:eastAsia="宋体" w:cs="宋体"/>
                <w:color w:val="333333"/>
                <w:spacing w:val="-4"/>
                <w:sz w:val="18"/>
                <w:szCs w:val="18"/>
              </w:rPr>
              <w:t>江苏</w:t>
            </w:r>
          </w:p>
        </w:tc>
        <w:tc>
          <w:tcPr>
            <w:tcW w:w="2564" w:type="dxa"/>
            <w:vAlign w:val="top"/>
          </w:tcPr>
          <w:p w14:paraId="04BFF2AB">
            <w:pPr>
              <w:spacing w:before="233" w:line="219" w:lineRule="auto"/>
              <w:ind w:left="757" w:right="117" w:hanging="622"/>
              <w:rPr>
                <w:rFonts w:ascii="宋体" w:hAnsi="宋体" w:eastAsia="宋体" w:cs="宋体"/>
                <w:sz w:val="18"/>
                <w:szCs w:val="18"/>
              </w:rPr>
            </w:pPr>
            <w:r>
              <w:rPr>
                <w:rFonts w:ascii="宋体" w:hAnsi="宋体" w:eastAsia="宋体" w:cs="宋体"/>
                <w:color w:val="333333"/>
                <w:spacing w:val="-3"/>
                <w:sz w:val="18"/>
                <w:szCs w:val="18"/>
              </w:rPr>
              <w:t>南京市、苏州市、无锡市、常</w:t>
            </w:r>
            <w:r>
              <w:rPr>
                <w:rFonts w:ascii="宋体" w:hAnsi="宋体" w:eastAsia="宋体" w:cs="宋体"/>
                <w:color w:val="333333"/>
                <w:spacing w:val="4"/>
                <w:sz w:val="18"/>
                <w:szCs w:val="18"/>
              </w:rPr>
              <w:t xml:space="preserve"> </w:t>
            </w:r>
            <w:r>
              <w:rPr>
                <w:rFonts w:ascii="宋体" w:hAnsi="宋体" w:eastAsia="宋体" w:cs="宋体"/>
                <w:color w:val="333333"/>
                <w:spacing w:val="-4"/>
                <w:sz w:val="18"/>
                <w:szCs w:val="18"/>
              </w:rPr>
              <w:t>州市、镇江市</w:t>
            </w:r>
          </w:p>
        </w:tc>
        <w:tc>
          <w:tcPr>
            <w:tcW w:w="2564" w:type="dxa"/>
            <w:vAlign w:val="top"/>
          </w:tcPr>
          <w:p w14:paraId="7284BF85">
            <w:pPr>
              <w:spacing w:line="290" w:lineRule="auto"/>
              <w:rPr>
                <w:rFonts w:ascii="Arial"/>
                <w:sz w:val="21"/>
              </w:rPr>
            </w:pPr>
          </w:p>
          <w:p w14:paraId="43B9E8D2">
            <w:pPr>
              <w:spacing w:before="52" w:line="196" w:lineRule="auto"/>
              <w:ind w:left="1137"/>
              <w:rPr>
                <w:rFonts w:ascii="Arial" w:hAnsi="Arial" w:eastAsia="Arial" w:cs="Arial"/>
                <w:sz w:val="18"/>
                <w:szCs w:val="18"/>
              </w:rPr>
            </w:pPr>
            <w:r>
              <w:rPr>
                <w:rFonts w:ascii="Arial" w:hAnsi="Arial" w:eastAsia="Arial" w:cs="Arial"/>
                <w:color w:val="333333"/>
                <w:spacing w:val="-1"/>
                <w:sz w:val="18"/>
                <w:szCs w:val="18"/>
              </w:rPr>
              <w:t>490</w:t>
            </w:r>
          </w:p>
        </w:tc>
        <w:tc>
          <w:tcPr>
            <w:tcW w:w="1021" w:type="dxa"/>
            <w:vAlign w:val="top"/>
          </w:tcPr>
          <w:p w14:paraId="62EFC1A5">
            <w:pPr>
              <w:spacing w:line="290" w:lineRule="auto"/>
              <w:rPr>
                <w:rFonts w:ascii="Arial"/>
                <w:sz w:val="21"/>
              </w:rPr>
            </w:pPr>
          </w:p>
          <w:p w14:paraId="791D1D37">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380</w:t>
            </w:r>
          </w:p>
        </w:tc>
        <w:tc>
          <w:tcPr>
            <w:tcW w:w="990" w:type="dxa"/>
            <w:vAlign w:val="top"/>
          </w:tcPr>
          <w:p w14:paraId="3C925BD9">
            <w:pPr>
              <w:spacing w:line="432" w:lineRule="auto"/>
              <w:rPr>
                <w:rFonts w:ascii="Arial"/>
                <w:sz w:val="21"/>
              </w:rPr>
            </w:pPr>
          </w:p>
          <w:p w14:paraId="766207A0">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02EDD1B7">
            <w:pPr>
              <w:spacing w:line="432" w:lineRule="auto"/>
              <w:rPr>
                <w:rFonts w:ascii="Arial"/>
                <w:sz w:val="21"/>
              </w:rPr>
            </w:pPr>
          </w:p>
          <w:p w14:paraId="25BAE7CF">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28978D71">
            <w:pPr>
              <w:spacing w:line="432" w:lineRule="auto"/>
              <w:rPr>
                <w:rFonts w:ascii="Arial"/>
                <w:sz w:val="21"/>
              </w:rPr>
            </w:pPr>
          </w:p>
          <w:p w14:paraId="2864B348">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72FBDDC8">
            <w:pPr>
              <w:spacing w:line="432" w:lineRule="auto"/>
              <w:rPr>
                <w:rFonts w:ascii="Arial"/>
                <w:sz w:val="21"/>
              </w:rPr>
            </w:pPr>
          </w:p>
          <w:p w14:paraId="0E7F276E">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7294A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015515FB">
            <w:pPr>
              <w:rPr>
                <w:rFonts w:ascii="Arial"/>
                <w:sz w:val="21"/>
              </w:rPr>
            </w:pPr>
          </w:p>
        </w:tc>
        <w:tc>
          <w:tcPr>
            <w:tcW w:w="620" w:type="dxa"/>
            <w:vMerge w:val="continue"/>
            <w:tcBorders>
              <w:top w:val="nil"/>
            </w:tcBorders>
            <w:vAlign w:val="top"/>
          </w:tcPr>
          <w:p w14:paraId="2598BE4F">
            <w:pPr>
              <w:rPr>
                <w:rFonts w:ascii="Arial"/>
                <w:sz w:val="21"/>
              </w:rPr>
            </w:pPr>
          </w:p>
        </w:tc>
        <w:tc>
          <w:tcPr>
            <w:tcW w:w="2564" w:type="dxa"/>
            <w:vAlign w:val="top"/>
          </w:tcPr>
          <w:p w14:paraId="42664AF0">
            <w:pPr>
              <w:spacing w:before="162"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056C6E7D">
            <w:pPr>
              <w:spacing w:before="164" w:line="196" w:lineRule="auto"/>
              <w:ind w:left="1137"/>
              <w:rPr>
                <w:rFonts w:ascii="Arial" w:hAnsi="Arial" w:eastAsia="Arial" w:cs="Arial"/>
                <w:sz w:val="18"/>
                <w:szCs w:val="18"/>
              </w:rPr>
            </w:pPr>
            <w:r>
              <w:rPr>
                <w:rFonts w:ascii="Arial" w:hAnsi="Arial" w:eastAsia="Arial" w:cs="Arial"/>
                <w:color w:val="333333"/>
                <w:spacing w:val="-1"/>
                <w:sz w:val="18"/>
                <w:szCs w:val="18"/>
              </w:rPr>
              <w:t>490</w:t>
            </w:r>
          </w:p>
        </w:tc>
        <w:tc>
          <w:tcPr>
            <w:tcW w:w="1021" w:type="dxa"/>
            <w:vAlign w:val="top"/>
          </w:tcPr>
          <w:p w14:paraId="502E0C63">
            <w:pPr>
              <w:spacing w:before="164" w:line="196" w:lineRule="auto"/>
              <w:ind w:left="386"/>
              <w:rPr>
                <w:rFonts w:ascii="Arial" w:hAnsi="Arial" w:eastAsia="Arial" w:cs="Arial"/>
                <w:sz w:val="18"/>
                <w:szCs w:val="18"/>
              </w:rPr>
            </w:pPr>
            <w:r>
              <w:rPr>
                <w:rFonts w:ascii="Arial" w:hAnsi="Arial" w:eastAsia="Arial" w:cs="Arial"/>
                <w:color w:val="333333"/>
                <w:spacing w:val="-4"/>
                <w:sz w:val="18"/>
                <w:szCs w:val="18"/>
              </w:rPr>
              <w:t>360</w:t>
            </w:r>
          </w:p>
        </w:tc>
        <w:tc>
          <w:tcPr>
            <w:tcW w:w="990" w:type="dxa"/>
            <w:vAlign w:val="top"/>
          </w:tcPr>
          <w:p w14:paraId="682908D1">
            <w:pPr>
              <w:spacing w:line="251" w:lineRule="auto"/>
              <w:rPr>
                <w:rFonts w:ascii="Arial"/>
                <w:sz w:val="21"/>
              </w:rPr>
            </w:pPr>
          </w:p>
          <w:p w14:paraId="31F6258D">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966D3F3">
            <w:pPr>
              <w:spacing w:line="251" w:lineRule="auto"/>
              <w:rPr>
                <w:rFonts w:ascii="Arial"/>
                <w:sz w:val="21"/>
              </w:rPr>
            </w:pPr>
          </w:p>
          <w:p w14:paraId="7BBA6A7A">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41B3CC17">
            <w:pPr>
              <w:spacing w:line="251" w:lineRule="auto"/>
              <w:rPr>
                <w:rFonts w:ascii="Arial"/>
                <w:sz w:val="21"/>
              </w:rPr>
            </w:pPr>
          </w:p>
          <w:p w14:paraId="3DA96034">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53DB9463">
            <w:pPr>
              <w:spacing w:line="251" w:lineRule="auto"/>
              <w:rPr>
                <w:rFonts w:ascii="Arial"/>
                <w:sz w:val="21"/>
              </w:rPr>
            </w:pPr>
          </w:p>
          <w:p w14:paraId="58B8ED15">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4CC04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restart"/>
            <w:tcBorders>
              <w:bottom w:val="nil"/>
            </w:tcBorders>
            <w:vAlign w:val="top"/>
          </w:tcPr>
          <w:p w14:paraId="66062B7C">
            <w:pPr>
              <w:spacing w:line="345" w:lineRule="auto"/>
              <w:rPr>
                <w:rFonts w:ascii="Arial"/>
                <w:sz w:val="21"/>
              </w:rPr>
            </w:pPr>
          </w:p>
          <w:p w14:paraId="4E452605">
            <w:pPr>
              <w:spacing w:before="51" w:line="197" w:lineRule="auto"/>
              <w:ind w:left="215"/>
              <w:rPr>
                <w:rFonts w:ascii="Arial" w:hAnsi="Arial" w:eastAsia="Arial" w:cs="Arial"/>
                <w:sz w:val="18"/>
                <w:szCs w:val="18"/>
              </w:rPr>
            </w:pPr>
            <w:r>
              <w:rPr>
                <w:rFonts w:ascii="Arial" w:hAnsi="Arial" w:eastAsia="Arial" w:cs="Arial"/>
                <w:color w:val="333333"/>
                <w:spacing w:val="-10"/>
                <w:sz w:val="18"/>
                <w:szCs w:val="18"/>
              </w:rPr>
              <w:t>12</w:t>
            </w:r>
          </w:p>
        </w:tc>
        <w:tc>
          <w:tcPr>
            <w:tcW w:w="620" w:type="dxa"/>
            <w:vMerge w:val="restart"/>
            <w:tcBorders>
              <w:bottom w:val="nil"/>
            </w:tcBorders>
            <w:vAlign w:val="top"/>
          </w:tcPr>
          <w:p w14:paraId="6B1D421B">
            <w:pPr>
              <w:spacing w:line="335" w:lineRule="auto"/>
              <w:rPr>
                <w:rFonts w:ascii="Arial"/>
                <w:sz w:val="21"/>
              </w:rPr>
            </w:pPr>
          </w:p>
          <w:p w14:paraId="5D62AD31">
            <w:pPr>
              <w:spacing w:before="58" w:line="222" w:lineRule="auto"/>
              <w:ind w:left="144"/>
              <w:rPr>
                <w:rFonts w:ascii="宋体" w:hAnsi="宋体" w:eastAsia="宋体" w:cs="宋体"/>
                <w:sz w:val="18"/>
                <w:szCs w:val="18"/>
              </w:rPr>
            </w:pPr>
            <w:r>
              <w:rPr>
                <w:rFonts w:ascii="宋体" w:hAnsi="宋体" w:eastAsia="宋体" w:cs="宋体"/>
                <w:color w:val="333333"/>
                <w:spacing w:val="-4"/>
                <w:sz w:val="18"/>
                <w:szCs w:val="18"/>
              </w:rPr>
              <w:t>浙江</w:t>
            </w:r>
          </w:p>
        </w:tc>
        <w:tc>
          <w:tcPr>
            <w:tcW w:w="2564" w:type="dxa"/>
            <w:vAlign w:val="top"/>
          </w:tcPr>
          <w:p w14:paraId="24CD0E43">
            <w:pPr>
              <w:spacing w:before="162" w:line="219" w:lineRule="auto"/>
              <w:ind w:left="1027"/>
              <w:rPr>
                <w:rFonts w:ascii="宋体" w:hAnsi="宋体" w:eastAsia="宋体" w:cs="宋体"/>
                <w:sz w:val="18"/>
                <w:szCs w:val="18"/>
              </w:rPr>
            </w:pPr>
            <w:r>
              <w:rPr>
                <w:rFonts w:ascii="宋体" w:hAnsi="宋体" w:eastAsia="宋体" w:cs="宋体"/>
                <w:color w:val="333333"/>
                <w:spacing w:val="-3"/>
                <w:sz w:val="18"/>
                <w:szCs w:val="18"/>
              </w:rPr>
              <w:t>杭州市</w:t>
            </w:r>
          </w:p>
        </w:tc>
        <w:tc>
          <w:tcPr>
            <w:tcW w:w="2564" w:type="dxa"/>
            <w:vAlign w:val="top"/>
          </w:tcPr>
          <w:p w14:paraId="281412D4">
            <w:pPr>
              <w:spacing w:before="166" w:line="196" w:lineRule="auto"/>
              <w:ind w:left="1155"/>
              <w:rPr>
                <w:rFonts w:ascii="Arial" w:hAnsi="Arial" w:eastAsia="Arial" w:cs="Arial"/>
                <w:sz w:val="18"/>
                <w:szCs w:val="18"/>
              </w:rPr>
            </w:pPr>
            <w:r>
              <w:rPr>
                <w:rFonts w:ascii="Arial" w:hAnsi="Arial" w:eastAsia="Arial" w:cs="Arial"/>
                <w:color w:val="333333"/>
                <w:spacing w:val="-4"/>
                <w:sz w:val="18"/>
                <w:szCs w:val="18"/>
              </w:rPr>
              <w:t>500</w:t>
            </w:r>
          </w:p>
        </w:tc>
        <w:tc>
          <w:tcPr>
            <w:tcW w:w="1021" w:type="dxa"/>
            <w:vAlign w:val="top"/>
          </w:tcPr>
          <w:p w14:paraId="07926588">
            <w:pPr>
              <w:spacing w:before="166" w:line="196" w:lineRule="auto"/>
              <w:ind w:left="371"/>
              <w:rPr>
                <w:rFonts w:ascii="Arial" w:hAnsi="Arial" w:eastAsia="Arial" w:cs="Arial"/>
                <w:sz w:val="18"/>
                <w:szCs w:val="18"/>
              </w:rPr>
            </w:pPr>
            <w:r>
              <w:rPr>
                <w:rFonts w:ascii="Arial" w:hAnsi="Arial" w:eastAsia="Arial" w:cs="Arial"/>
                <w:color w:val="333333"/>
                <w:spacing w:val="-1"/>
                <w:sz w:val="18"/>
                <w:szCs w:val="18"/>
              </w:rPr>
              <w:t>400</w:t>
            </w:r>
          </w:p>
        </w:tc>
        <w:tc>
          <w:tcPr>
            <w:tcW w:w="990" w:type="dxa"/>
            <w:vAlign w:val="top"/>
          </w:tcPr>
          <w:p w14:paraId="49204BCC">
            <w:pPr>
              <w:spacing w:line="251" w:lineRule="auto"/>
              <w:rPr>
                <w:rFonts w:ascii="Arial"/>
                <w:sz w:val="21"/>
              </w:rPr>
            </w:pPr>
          </w:p>
          <w:p w14:paraId="3FDE54C9">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7515771">
            <w:pPr>
              <w:spacing w:line="251" w:lineRule="auto"/>
              <w:rPr>
                <w:rFonts w:ascii="Arial"/>
                <w:sz w:val="21"/>
              </w:rPr>
            </w:pPr>
          </w:p>
          <w:p w14:paraId="759FA89A">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2E66B3FB">
            <w:pPr>
              <w:spacing w:line="251" w:lineRule="auto"/>
              <w:rPr>
                <w:rFonts w:ascii="Arial"/>
                <w:sz w:val="21"/>
              </w:rPr>
            </w:pPr>
          </w:p>
          <w:p w14:paraId="68DD59E9">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7CE97646">
            <w:pPr>
              <w:spacing w:line="251" w:lineRule="auto"/>
              <w:rPr>
                <w:rFonts w:ascii="Arial"/>
                <w:sz w:val="21"/>
              </w:rPr>
            </w:pPr>
          </w:p>
          <w:p w14:paraId="66C61C05">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163B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7CC01F44">
            <w:pPr>
              <w:rPr>
                <w:rFonts w:ascii="Arial"/>
                <w:sz w:val="21"/>
              </w:rPr>
            </w:pPr>
          </w:p>
        </w:tc>
        <w:tc>
          <w:tcPr>
            <w:tcW w:w="620" w:type="dxa"/>
            <w:vMerge w:val="continue"/>
            <w:tcBorders>
              <w:top w:val="nil"/>
            </w:tcBorders>
            <w:vAlign w:val="top"/>
          </w:tcPr>
          <w:p w14:paraId="64F0DD42">
            <w:pPr>
              <w:rPr>
                <w:rFonts w:ascii="Arial"/>
                <w:sz w:val="21"/>
              </w:rPr>
            </w:pPr>
          </w:p>
        </w:tc>
        <w:tc>
          <w:tcPr>
            <w:tcW w:w="2564" w:type="dxa"/>
            <w:vAlign w:val="top"/>
          </w:tcPr>
          <w:p w14:paraId="720EC4E4">
            <w:pPr>
              <w:spacing w:before="163"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3C8BAF59">
            <w:pPr>
              <w:spacing w:before="165" w:line="196" w:lineRule="auto"/>
              <w:ind w:left="1137"/>
              <w:rPr>
                <w:rFonts w:ascii="Arial" w:hAnsi="Arial" w:eastAsia="Arial" w:cs="Arial"/>
                <w:sz w:val="18"/>
                <w:szCs w:val="18"/>
              </w:rPr>
            </w:pPr>
            <w:r>
              <w:rPr>
                <w:rFonts w:ascii="Arial" w:hAnsi="Arial" w:eastAsia="Arial" w:cs="Arial"/>
                <w:color w:val="333333"/>
                <w:spacing w:val="-1"/>
                <w:sz w:val="18"/>
                <w:szCs w:val="18"/>
              </w:rPr>
              <w:t>490</w:t>
            </w:r>
          </w:p>
        </w:tc>
        <w:tc>
          <w:tcPr>
            <w:tcW w:w="1021" w:type="dxa"/>
            <w:vAlign w:val="top"/>
          </w:tcPr>
          <w:p w14:paraId="69964CF2">
            <w:pPr>
              <w:spacing w:before="165" w:line="196" w:lineRule="auto"/>
              <w:ind w:left="386"/>
              <w:rPr>
                <w:rFonts w:ascii="Arial" w:hAnsi="Arial" w:eastAsia="Arial" w:cs="Arial"/>
                <w:sz w:val="18"/>
                <w:szCs w:val="18"/>
              </w:rPr>
            </w:pPr>
            <w:r>
              <w:rPr>
                <w:rFonts w:ascii="Arial" w:hAnsi="Arial" w:eastAsia="Arial" w:cs="Arial"/>
                <w:color w:val="333333"/>
                <w:spacing w:val="-4"/>
                <w:sz w:val="18"/>
                <w:szCs w:val="18"/>
              </w:rPr>
              <w:t>340</w:t>
            </w:r>
          </w:p>
        </w:tc>
        <w:tc>
          <w:tcPr>
            <w:tcW w:w="990" w:type="dxa"/>
            <w:vAlign w:val="top"/>
          </w:tcPr>
          <w:p w14:paraId="47DE0C99">
            <w:pPr>
              <w:spacing w:line="253" w:lineRule="auto"/>
              <w:rPr>
                <w:rFonts w:ascii="Arial"/>
                <w:sz w:val="21"/>
              </w:rPr>
            </w:pPr>
          </w:p>
          <w:p w14:paraId="07A1E388">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7DF8394">
            <w:pPr>
              <w:spacing w:line="253" w:lineRule="auto"/>
              <w:rPr>
                <w:rFonts w:ascii="Arial"/>
                <w:sz w:val="21"/>
              </w:rPr>
            </w:pPr>
          </w:p>
          <w:p w14:paraId="0AF8B140">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18B38DD7">
            <w:pPr>
              <w:spacing w:line="253" w:lineRule="auto"/>
              <w:rPr>
                <w:rFonts w:ascii="Arial"/>
                <w:sz w:val="21"/>
              </w:rPr>
            </w:pPr>
          </w:p>
          <w:p w14:paraId="0D3F152A">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31A3792A">
            <w:pPr>
              <w:spacing w:line="253" w:lineRule="auto"/>
              <w:rPr>
                <w:rFonts w:ascii="Arial"/>
                <w:sz w:val="21"/>
              </w:rPr>
            </w:pPr>
          </w:p>
          <w:p w14:paraId="51A99A24">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B0A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Align w:val="top"/>
          </w:tcPr>
          <w:p w14:paraId="7F85A954">
            <w:pPr>
              <w:spacing w:before="165" w:line="196" w:lineRule="auto"/>
              <w:ind w:left="215"/>
              <w:rPr>
                <w:rFonts w:ascii="Arial" w:hAnsi="Arial" w:eastAsia="Arial" w:cs="Arial"/>
                <w:sz w:val="18"/>
                <w:szCs w:val="18"/>
              </w:rPr>
            </w:pPr>
            <w:r>
              <w:rPr>
                <w:rFonts w:ascii="Arial" w:hAnsi="Arial" w:eastAsia="Arial" w:cs="Arial"/>
                <w:color w:val="333333"/>
                <w:spacing w:val="-10"/>
                <w:sz w:val="18"/>
                <w:szCs w:val="18"/>
              </w:rPr>
              <w:t>13</w:t>
            </w:r>
          </w:p>
        </w:tc>
        <w:tc>
          <w:tcPr>
            <w:tcW w:w="620" w:type="dxa"/>
            <w:vAlign w:val="top"/>
          </w:tcPr>
          <w:p w14:paraId="67DA0531">
            <w:pPr>
              <w:spacing w:before="161" w:line="220" w:lineRule="auto"/>
              <w:ind w:left="169"/>
              <w:rPr>
                <w:rFonts w:ascii="宋体" w:hAnsi="宋体" w:eastAsia="宋体" w:cs="宋体"/>
                <w:sz w:val="18"/>
                <w:szCs w:val="18"/>
              </w:rPr>
            </w:pPr>
            <w:r>
              <w:rPr>
                <w:rFonts w:ascii="宋体" w:hAnsi="宋体" w:eastAsia="宋体" w:cs="宋体"/>
                <w:color w:val="333333"/>
                <w:spacing w:val="-9"/>
                <w:sz w:val="18"/>
                <w:szCs w:val="18"/>
              </w:rPr>
              <w:t>宁波</w:t>
            </w:r>
          </w:p>
        </w:tc>
        <w:tc>
          <w:tcPr>
            <w:tcW w:w="2564" w:type="dxa"/>
            <w:vAlign w:val="top"/>
          </w:tcPr>
          <w:p w14:paraId="13C87CBC">
            <w:pPr>
              <w:spacing w:before="161" w:line="219" w:lineRule="auto"/>
              <w:ind w:left="1117"/>
              <w:rPr>
                <w:rFonts w:ascii="宋体" w:hAnsi="宋体" w:eastAsia="宋体" w:cs="宋体"/>
                <w:sz w:val="18"/>
                <w:szCs w:val="18"/>
              </w:rPr>
            </w:pPr>
            <w:r>
              <w:rPr>
                <w:rFonts w:ascii="宋体" w:hAnsi="宋体" w:eastAsia="宋体" w:cs="宋体"/>
                <w:color w:val="333333"/>
                <w:spacing w:val="-4"/>
                <w:sz w:val="18"/>
                <w:szCs w:val="18"/>
              </w:rPr>
              <w:t>全市</w:t>
            </w:r>
          </w:p>
        </w:tc>
        <w:tc>
          <w:tcPr>
            <w:tcW w:w="2564" w:type="dxa"/>
            <w:vAlign w:val="top"/>
          </w:tcPr>
          <w:p w14:paraId="3B39D127">
            <w:pPr>
              <w:spacing w:before="165"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Align w:val="top"/>
          </w:tcPr>
          <w:p w14:paraId="18DEE848">
            <w:pPr>
              <w:spacing w:before="165"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77FFE21F">
            <w:pPr>
              <w:spacing w:line="253" w:lineRule="auto"/>
              <w:rPr>
                <w:rFonts w:ascii="Arial"/>
                <w:sz w:val="21"/>
              </w:rPr>
            </w:pPr>
          </w:p>
          <w:p w14:paraId="124B4126">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314B3FB4">
            <w:pPr>
              <w:spacing w:line="253" w:lineRule="auto"/>
              <w:rPr>
                <w:rFonts w:ascii="Arial"/>
                <w:sz w:val="21"/>
              </w:rPr>
            </w:pPr>
          </w:p>
          <w:p w14:paraId="6C136AFF">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60A927C6">
            <w:pPr>
              <w:spacing w:line="253" w:lineRule="auto"/>
              <w:rPr>
                <w:rFonts w:ascii="Arial"/>
                <w:sz w:val="21"/>
              </w:rPr>
            </w:pPr>
          </w:p>
          <w:p w14:paraId="6C4E824F">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0FA104DF">
            <w:pPr>
              <w:spacing w:line="253" w:lineRule="auto"/>
              <w:rPr>
                <w:rFonts w:ascii="Arial"/>
                <w:sz w:val="21"/>
              </w:rPr>
            </w:pPr>
          </w:p>
          <w:p w14:paraId="2BCE24D7">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00EB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Align w:val="top"/>
          </w:tcPr>
          <w:p w14:paraId="7CD92D95">
            <w:pPr>
              <w:spacing w:before="167" w:line="197" w:lineRule="auto"/>
              <w:ind w:left="215"/>
              <w:rPr>
                <w:rFonts w:ascii="Arial" w:hAnsi="Arial" w:eastAsia="Arial" w:cs="Arial"/>
                <w:sz w:val="18"/>
                <w:szCs w:val="18"/>
              </w:rPr>
            </w:pPr>
            <w:r>
              <w:rPr>
                <w:rFonts w:ascii="Arial" w:hAnsi="Arial" w:eastAsia="Arial" w:cs="Arial"/>
                <w:color w:val="333333"/>
                <w:spacing w:val="-10"/>
                <w:sz w:val="18"/>
                <w:szCs w:val="18"/>
              </w:rPr>
              <w:t>14</w:t>
            </w:r>
          </w:p>
        </w:tc>
        <w:tc>
          <w:tcPr>
            <w:tcW w:w="620" w:type="dxa"/>
            <w:vAlign w:val="top"/>
          </w:tcPr>
          <w:p w14:paraId="2AC7716C">
            <w:pPr>
              <w:spacing w:before="164" w:line="220" w:lineRule="auto"/>
              <w:ind w:left="151"/>
              <w:rPr>
                <w:rFonts w:ascii="宋体" w:hAnsi="宋体" w:eastAsia="宋体" w:cs="宋体"/>
                <w:sz w:val="18"/>
                <w:szCs w:val="18"/>
              </w:rPr>
            </w:pPr>
            <w:r>
              <w:rPr>
                <w:rFonts w:ascii="宋体" w:hAnsi="宋体" w:eastAsia="宋体" w:cs="宋体"/>
                <w:color w:val="333333"/>
                <w:spacing w:val="-6"/>
                <w:sz w:val="18"/>
                <w:szCs w:val="18"/>
              </w:rPr>
              <w:t>安徽</w:t>
            </w:r>
          </w:p>
        </w:tc>
        <w:tc>
          <w:tcPr>
            <w:tcW w:w="2564" w:type="dxa"/>
            <w:vAlign w:val="top"/>
          </w:tcPr>
          <w:p w14:paraId="566C8258">
            <w:pPr>
              <w:spacing w:before="164" w:line="219" w:lineRule="auto"/>
              <w:ind w:left="1117"/>
              <w:rPr>
                <w:rFonts w:ascii="宋体" w:hAnsi="宋体" w:eastAsia="宋体" w:cs="宋体"/>
                <w:sz w:val="18"/>
                <w:szCs w:val="18"/>
              </w:rPr>
            </w:pPr>
            <w:r>
              <w:rPr>
                <w:rFonts w:ascii="宋体" w:hAnsi="宋体" w:eastAsia="宋体" w:cs="宋体"/>
                <w:color w:val="333333"/>
                <w:spacing w:val="-4"/>
                <w:sz w:val="18"/>
                <w:szCs w:val="18"/>
              </w:rPr>
              <w:t>全省</w:t>
            </w:r>
          </w:p>
        </w:tc>
        <w:tc>
          <w:tcPr>
            <w:tcW w:w="2564" w:type="dxa"/>
            <w:vAlign w:val="top"/>
          </w:tcPr>
          <w:p w14:paraId="70D883D7">
            <w:pPr>
              <w:spacing w:before="163" w:line="196" w:lineRule="auto"/>
              <w:ind w:left="1137"/>
              <w:rPr>
                <w:rFonts w:ascii="Arial" w:hAnsi="Arial" w:eastAsia="Arial" w:cs="Arial"/>
                <w:sz w:val="18"/>
                <w:szCs w:val="18"/>
              </w:rPr>
            </w:pPr>
            <w:r>
              <w:rPr>
                <w:rFonts w:ascii="Arial" w:hAnsi="Arial" w:eastAsia="Arial" w:cs="Arial"/>
                <w:color w:val="333333"/>
                <w:spacing w:val="-1"/>
                <w:sz w:val="18"/>
                <w:szCs w:val="18"/>
              </w:rPr>
              <w:t>460</w:t>
            </w:r>
          </w:p>
        </w:tc>
        <w:tc>
          <w:tcPr>
            <w:tcW w:w="1021" w:type="dxa"/>
            <w:vAlign w:val="top"/>
          </w:tcPr>
          <w:p w14:paraId="0C01DF9E">
            <w:pPr>
              <w:spacing w:before="163"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5FDE5B01">
            <w:pPr>
              <w:spacing w:line="253" w:lineRule="auto"/>
              <w:rPr>
                <w:rFonts w:ascii="Arial"/>
                <w:sz w:val="21"/>
              </w:rPr>
            </w:pPr>
          </w:p>
          <w:p w14:paraId="23CCE069">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4A48FBD6">
            <w:pPr>
              <w:spacing w:line="253" w:lineRule="auto"/>
              <w:rPr>
                <w:rFonts w:ascii="Arial"/>
                <w:sz w:val="21"/>
              </w:rPr>
            </w:pPr>
          </w:p>
          <w:p w14:paraId="130E5CAD">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57D3463E">
            <w:pPr>
              <w:spacing w:line="253" w:lineRule="auto"/>
              <w:rPr>
                <w:rFonts w:ascii="Arial"/>
                <w:sz w:val="21"/>
              </w:rPr>
            </w:pPr>
          </w:p>
          <w:p w14:paraId="6D0667B1">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11CED7FB">
            <w:pPr>
              <w:spacing w:line="253" w:lineRule="auto"/>
              <w:rPr>
                <w:rFonts w:ascii="Arial"/>
                <w:sz w:val="21"/>
              </w:rPr>
            </w:pPr>
          </w:p>
          <w:p w14:paraId="39D1C547">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01569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513" w:type="dxa"/>
            <w:vMerge w:val="restart"/>
            <w:tcBorders>
              <w:bottom w:val="nil"/>
            </w:tcBorders>
            <w:vAlign w:val="top"/>
          </w:tcPr>
          <w:p w14:paraId="72FB8D40">
            <w:pPr>
              <w:spacing w:line="467" w:lineRule="auto"/>
              <w:rPr>
                <w:rFonts w:ascii="Arial"/>
                <w:sz w:val="21"/>
              </w:rPr>
            </w:pPr>
          </w:p>
          <w:p w14:paraId="7285ED1C">
            <w:pPr>
              <w:spacing w:before="52" w:line="196" w:lineRule="auto"/>
              <w:ind w:left="215"/>
              <w:rPr>
                <w:rFonts w:ascii="Arial" w:hAnsi="Arial" w:eastAsia="Arial" w:cs="Arial"/>
                <w:sz w:val="18"/>
                <w:szCs w:val="18"/>
              </w:rPr>
            </w:pPr>
            <w:r>
              <w:rPr>
                <w:rFonts w:ascii="Arial" w:hAnsi="Arial" w:eastAsia="Arial" w:cs="Arial"/>
                <w:color w:val="333333"/>
                <w:spacing w:val="-10"/>
                <w:sz w:val="18"/>
                <w:szCs w:val="18"/>
              </w:rPr>
              <w:t>15</w:t>
            </w:r>
          </w:p>
        </w:tc>
        <w:tc>
          <w:tcPr>
            <w:tcW w:w="620" w:type="dxa"/>
            <w:vMerge w:val="restart"/>
            <w:tcBorders>
              <w:bottom w:val="nil"/>
            </w:tcBorders>
            <w:vAlign w:val="top"/>
          </w:tcPr>
          <w:p w14:paraId="742334AC">
            <w:pPr>
              <w:spacing w:line="461" w:lineRule="auto"/>
              <w:rPr>
                <w:rFonts w:ascii="Arial"/>
                <w:sz w:val="21"/>
              </w:rPr>
            </w:pPr>
          </w:p>
          <w:p w14:paraId="6898BDFA">
            <w:pPr>
              <w:spacing w:before="58" w:line="221" w:lineRule="auto"/>
              <w:ind w:left="140"/>
              <w:rPr>
                <w:rFonts w:ascii="宋体" w:hAnsi="宋体" w:eastAsia="宋体" w:cs="宋体"/>
                <w:sz w:val="18"/>
                <w:szCs w:val="18"/>
              </w:rPr>
            </w:pPr>
            <w:r>
              <w:rPr>
                <w:rFonts w:ascii="宋体" w:hAnsi="宋体" w:eastAsia="宋体" w:cs="宋体"/>
                <w:color w:val="333333"/>
                <w:spacing w:val="-4"/>
                <w:sz w:val="18"/>
                <w:szCs w:val="18"/>
              </w:rPr>
              <w:t>福建</w:t>
            </w:r>
          </w:p>
        </w:tc>
        <w:tc>
          <w:tcPr>
            <w:tcW w:w="2564" w:type="dxa"/>
            <w:vAlign w:val="top"/>
          </w:tcPr>
          <w:p w14:paraId="4BB6D1F0">
            <w:pPr>
              <w:spacing w:before="189" w:line="224" w:lineRule="auto"/>
              <w:ind w:left="1113" w:right="121" w:hanging="986"/>
              <w:rPr>
                <w:rFonts w:ascii="宋体" w:hAnsi="宋体" w:eastAsia="宋体" w:cs="宋体"/>
                <w:sz w:val="18"/>
                <w:szCs w:val="18"/>
              </w:rPr>
            </w:pPr>
            <w:r>
              <w:rPr>
                <w:rFonts w:ascii="宋体" w:hAnsi="宋体" w:eastAsia="宋体" w:cs="宋体"/>
                <w:color w:val="333333"/>
                <w:spacing w:val="-3"/>
                <w:sz w:val="18"/>
                <w:szCs w:val="18"/>
              </w:rPr>
              <w:t>福州市、泉州市、平潭综合实</w:t>
            </w:r>
            <w:r>
              <w:rPr>
                <w:rFonts w:ascii="宋体" w:hAnsi="宋体" w:eastAsia="宋体" w:cs="宋体"/>
                <w:color w:val="333333"/>
                <w:spacing w:val="7"/>
                <w:sz w:val="18"/>
                <w:szCs w:val="18"/>
              </w:rPr>
              <w:t xml:space="preserve"> </w:t>
            </w:r>
            <w:r>
              <w:rPr>
                <w:rFonts w:ascii="宋体" w:hAnsi="宋体" w:eastAsia="宋体" w:cs="宋体"/>
                <w:color w:val="333333"/>
                <w:spacing w:val="-4"/>
                <w:sz w:val="18"/>
                <w:szCs w:val="18"/>
              </w:rPr>
              <w:t>验区</w:t>
            </w:r>
          </w:p>
        </w:tc>
        <w:tc>
          <w:tcPr>
            <w:tcW w:w="2564" w:type="dxa"/>
            <w:vAlign w:val="top"/>
          </w:tcPr>
          <w:p w14:paraId="6F37D255">
            <w:pPr>
              <w:spacing w:line="243" w:lineRule="auto"/>
              <w:rPr>
                <w:rFonts w:ascii="Arial"/>
                <w:sz w:val="21"/>
              </w:rPr>
            </w:pPr>
          </w:p>
          <w:p w14:paraId="320CD3D6">
            <w:pPr>
              <w:spacing w:before="52"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3FABDE46">
            <w:pPr>
              <w:spacing w:line="243" w:lineRule="auto"/>
              <w:rPr>
                <w:rFonts w:ascii="Arial"/>
                <w:sz w:val="21"/>
              </w:rPr>
            </w:pPr>
          </w:p>
          <w:p w14:paraId="2879A3DD">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380</w:t>
            </w:r>
          </w:p>
        </w:tc>
        <w:tc>
          <w:tcPr>
            <w:tcW w:w="990" w:type="dxa"/>
            <w:vAlign w:val="top"/>
          </w:tcPr>
          <w:p w14:paraId="1DF26FB1">
            <w:pPr>
              <w:spacing w:line="381" w:lineRule="auto"/>
              <w:rPr>
                <w:rFonts w:ascii="Arial"/>
                <w:sz w:val="21"/>
              </w:rPr>
            </w:pPr>
          </w:p>
          <w:p w14:paraId="118BB834">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35B96B9F">
            <w:pPr>
              <w:spacing w:line="381" w:lineRule="auto"/>
              <w:rPr>
                <w:rFonts w:ascii="Arial"/>
                <w:sz w:val="21"/>
              </w:rPr>
            </w:pPr>
          </w:p>
          <w:p w14:paraId="520C0C52">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432C098C">
            <w:pPr>
              <w:spacing w:line="381" w:lineRule="auto"/>
              <w:rPr>
                <w:rFonts w:ascii="Arial"/>
                <w:sz w:val="21"/>
              </w:rPr>
            </w:pPr>
          </w:p>
          <w:p w14:paraId="458E30F3">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0A071AFE">
            <w:pPr>
              <w:spacing w:line="381" w:lineRule="auto"/>
              <w:rPr>
                <w:rFonts w:ascii="Arial"/>
                <w:sz w:val="21"/>
              </w:rPr>
            </w:pPr>
          </w:p>
          <w:p w14:paraId="08AB22DC">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2561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45B9E646">
            <w:pPr>
              <w:rPr>
                <w:rFonts w:ascii="Arial"/>
                <w:sz w:val="21"/>
              </w:rPr>
            </w:pPr>
          </w:p>
        </w:tc>
        <w:tc>
          <w:tcPr>
            <w:tcW w:w="620" w:type="dxa"/>
            <w:vMerge w:val="continue"/>
            <w:tcBorders>
              <w:top w:val="nil"/>
            </w:tcBorders>
            <w:vAlign w:val="top"/>
          </w:tcPr>
          <w:p w14:paraId="255C47E6">
            <w:pPr>
              <w:rPr>
                <w:rFonts w:ascii="Arial"/>
                <w:sz w:val="21"/>
              </w:rPr>
            </w:pPr>
          </w:p>
        </w:tc>
        <w:tc>
          <w:tcPr>
            <w:tcW w:w="2564" w:type="dxa"/>
            <w:vAlign w:val="top"/>
          </w:tcPr>
          <w:p w14:paraId="1D6AB859">
            <w:pPr>
              <w:spacing w:before="168"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4B374A75">
            <w:pPr>
              <w:spacing w:before="172"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03E37D21">
            <w:pPr>
              <w:spacing w:before="172"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6C10B6A0">
            <w:pPr>
              <w:spacing w:line="257" w:lineRule="auto"/>
              <w:rPr>
                <w:rFonts w:ascii="Arial"/>
                <w:sz w:val="21"/>
              </w:rPr>
            </w:pPr>
          </w:p>
          <w:p w14:paraId="58882EC7">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5660C8B3">
            <w:pPr>
              <w:spacing w:line="257" w:lineRule="auto"/>
              <w:rPr>
                <w:rFonts w:ascii="Arial"/>
                <w:sz w:val="21"/>
              </w:rPr>
            </w:pPr>
          </w:p>
          <w:p w14:paraId="7B85A582">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14C12FE6">
            <w:pPr>
              <w:spacing w:line="257" w:lineRule="auto"/>
              <w:rPr>
                <w:rFonts w:ascii="Arial"/>
                <w:sz w:val="21"/>
              </w:rPr>
            </w:pPr>
          </w:p>
          <w:p w14:paraId="7FF80CC4">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235CD5FB">
            <w:pPr>
              <w:spacing w:line="257" w:lineRule="auto"/>
              <w:rPr>
                <w:rFonts w:ascii="Arial"/>
                <w:sz w:val="21"/>
              </w:rPr>
            </w:pPr>
          </w:p>
          <w:p w14:paraId="64741C77">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7F739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Align w:val="top"/>
          </w:tcPr>
          <w:p w14:paraId="1B3BB924">
            <w:pPr>
              <w:spacing w:before="170" w:line="196" w:lineRule="auto"/>
              <w:ind w:left="215"/>
              <w:rPr>
                <w:rFonts w:ascii="Arial" w:hAnsi="Arial" w:eastAsia="Arial" w:cs="Arial"/>
                <w:sz w:val="18"/>
                <w:szCs w:val="18"/>
              </w:rPr>
            </w:pPr>
            <w:r>
              <w:rPr>
                <w:rFonts w:ascii="Arial" w:hAnsi="Arial" w:eastAsia="Arial" w:cs="Arial"/>
                <w:color w:val="333333"/>
                <w:spacing w:val="-10"/>
                <w:sz w:val="18"/>
                <w:szCs w:val="18"/>
              </w:rPr>
              <w:t>16</w:t>
            </w:r>
          </w:p>
        </w:tc>
        <w:tc>
          <w:tcPr>
            <w:tcW w:w="620" w:type="dxa"/>
            <w:vAlign w:val="top"/>
          </w:tcPr>
          <w:p w14:paraId="02247C9E">
            <w:pPr>
              <w:spacing w:before="168" w:line="221" w:lineRule="auto"/>
              <w:ind w:left="161"/>
              <w:rPr>
                <w:rFonts w:ascii="宋体" w:hAnsi="宋体" w:eastAsia="宋体" w:cs="宋体"/>
                <w:sz w:val="18"/>
                <w:szCs w:val="18"/>
              </w:rPr>
            </w:pPr>
            <w:r>
              <w:rPr>
                <w:rFonts w:ascii="宋体" w:hAnsi="宋体" w:eastAsia="宋体" w:cs="宋体"/>
                <w:color w:val="333333"/>
                <w:spacing w:val="-7"/>
                <w:sz w:val="18"/>
                <w:szCs w:val="18"/>
              </w:rPr>
              <w:t>厦门</w:t>
            </w:r>
          </w:p>
        </w:tc>
        <w:tc>
          <w:tcPr>
            <w:tcW w:w="2564" w:type="dxa"/>
            <w:vAlign w:val="top"/>
          </w:tcPr>
          <w:p w14:paraId="7AB1B4E3">
            <w:pPr>
              <w:spacing w:before="169" w:line="219" w:lineRule="auto"/>
              <w:ind w:left="1117"/>
              <w:rPr>
                <w:rFonts w:ascii="宋体" w:hAnsi="宋体" w:eastAsia="宋体" w:cs="宋体"/>
                <w:sz w:val="18"/>
                <w:szCs w:val="18"/>
              </w:rPr>
            </w:pPr>
            <w:r>
              <w:rPr>
                <w:rFonts w:ascii="宋体" w:hAnsi="宋体" w:eastAsia="宋体" w:cs="宋体"/>
                <w:color w:val="333333"/>
                <w:spacing w:val="-4"/>
                <w:sz w:val="18"/>
                <w:szCs w:val="18"/>
              </w:rPr>
              <w:t>全市</w:t>
            </w:r>
          </w:p>
        </w:tc>
        <w:tc>
          <w:tcPr>
            <w:tcW w:w="2564" w:type="dxa"/>
            <w:vAlign w:val="top"/>
          </w:tcPr>
          <w:p w14:paraId="609786C7">
            <w:pPr>
              <w:spacing w:before="170" w:line="196" w:lineRule="auto"/>
              <w:ind w:left="1155"/>
              <w:rPr>
                <w:rFonts w:ascii="Arial" w:hAnsi="Arial" w:eastAsia="Arial" w:cs="Arial"/>
                <w:sz w:val="18"/>
                <w:szCs w:val="18"/>
              </w:rPr>
            </w:pPr>
            <w:r>
              <w:rPr>
                <w:rFonts w:ascii="Arial" w:hAnsi="Arial" w:eastAsia="Arial" w:cs="Arial"/>
                <w:color w:val="333333"/>
                <w:spacing w:val="-4"/>
                <w:sz w:val="18"/>
                <w:szCs w:val="18"/>
              </w:rPr>
              <w:t>500</w:t>
            </w:r>
          </w:p>
        </w:tc>
        <w:tc>
          <w:tcPr>
            <w:tcW w:w="1021" w:type="dxa"/>
            <w:vAlign w:val="top"/>
          </w:tcPr>
          <w:p w14:paraId="5E775C47">
            <w:pPr>
              <w:spacing w:before="170" w:line="196" w:lineRule="auto"/>
              <w:ind w:left="371"/>
              <w:rPr>
                <w:rFonts w:ascii="Arial" w:hAnsi="Arial" w:eastAsia="Arial" w:cs="Arial"/>
                <w:sz w:val="18"/>
                <w:szCs w:val="18"/>
              </w:rPr>
            </w:pPr>
            <w:r>
              <w:rPr>
                <w:rFonts w:ascii="Arial" w:hAnsi="Arial" w:eastAsia="Arial" w:cs="Arial"/>
                <w:color w:val="333333"/>
                <w:spacing w:val="-1"/>
                <w:sz w:val="18"/>
                <w:szCs w:val="18"/>
              </w:rPr>
              <w:t>400</w:t>
            </w:r>
          </w:p>
        </w:tc>
        <w:tc>
          <w:tcPr>
            <w:tcW w:w="990" w:type="dxa"/>
            <w:vAlign w:val="top"/>
          </w:tcPr>
          <w:p w14:paraId="0A7B898F">
            <w:pPr>
              <w:spacing w:line="258" w:lineRule="auto"/>
              <w:rPr>
                <w:rFonts w:ascii="Arial"/>
                <w:sz w:val="21"/>
              </w:rPr>
            </w:pPr>
          </w:p>
          <w:p w14:paraId="223EA7AF">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51E1F93">
            <w:pPr>
              <w:spacing w:line="258" w:lineRule="auto"/>
              <w:rPr>
                <w:rFonts w:ascii="Arial"/>
                <w:sz w:val="21"/>
              </w:rPr>
            </w:pPr>
          </w:p>
          <w:p w14:paraId="235EC3D0">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27AD56A9">
            <w:pPr>
              <w:spacing w:line="258" w:lineRule="auto"/>
              <w:rPr>
                <w:rFonts w:ascii="Arial"/>
                <w:sz w:val="21"/>
              </w:rPr>
            </w:pPr>
          </w:p>
          <w:p w14:paraId="68D12EB5">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6F26C9AB">
            <w:pPr>
              <w:spacing w:line="258" w:lineRule="auto"/>
              <w:rPr>
                <w:rFonts w:ascii="Arial"/>
                <w:sz w:val="21"/>
              </w:rPr>
            </w:pPr>
          </w:p>
          <w:p w14:paraId="0C5B3745">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A0E5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Align w:val="top"/>
          </w:tcPr>
          <w:p w14:paraId="00ED507B">
            <w:pPr>
              <w:spacing w:before="173" w:line="197" w:lineRule="auto"/>
              <w:ind w:left="215"/>
              <w:rPr>
                <w:rFonts w:ascii="Arial" w:hAnsi="Arial" w:eastAsia="Arial" w:cs="Arial"/>
                <w:sz w:val="18"/>
                <w:szCs w:val="18"/>
              </w:rPr>
            </w:pPr>
            <w:r>
              <w:rPr>
                <w:rFonts w:ascii="Arial" w:hAnsi="Arial" w:eastAsia="Arial" w:cs="Arial"/>
                <w:color w:val="333333"/>
                <w:spacing w:val="-10"/>
                <w:sz w:val="18"/>
                <w:szCs w:val="18"/>
              </w:rPr>
              <w:t>17</w:t>
            </w:r>
          </w:p>
        </w:tc>
        <w:tc>
          <w:tcPr>
            <w:tcW w:w="620" w:type="dxa"/>
            <w:vAlign w:val="top"/>
          </w:tcPr>
          <w:p w14:paraId="0DAB3B62">
            <w:pPr>
              <w:spacing w:before="172" w:line="223" w:lineRule="auto"/>
              <w:ind w:left="144"/>
              <w:rPr>
                <w:rFonts w:ascii="宋体" w:hAnsi="宋体" w:eastAsia="宋体" w:cs="宋体"/>
                <w:sz w:val="18"/>
                <w:szCs w:val="18"/>
              </w:rPr>
            </w:pPr>
            <w:r>
              <w:rPr>
                <w:rFonts w:ascii="宋体" w:hAnsi="宋体" w:eastAsia="宋体" w:cs="宋体"/>
                <w:color w:val="333333"/>
                <w:spacing w:val="-4"/>
                <w:sz w:val="18"/>
                <w:szCs w:val="18"/>
              </w:rPr>
              <w:t>江西</w:t>
            </w:r>
          </w:p>
        </w:tc>
        <w:tc>
          <w:tcPr>
            <w:tcW w:w="2564" w:type="dxa"/>
            <w:vAlign w:val="top"/>
          </w:tcPr>
          <w:p w14:paraId="3E6303E2">
            <w:pPr>
              <w:spacing w:before="167" w:line="219" w:lineRule="auto"/>
              <w:ind w:left="1117"/>
              <w:rPr>
                <w:rFonts w:ascii="宋体" w:hAnsi="宋体" w:eastAsia="宋体" w:cs="宋体"/>
                <w:sz w:val="18"/>
                <w:szCs w:val="18"/>
              </w:rPr>
            </w:pPr>
            <w:r>
              <w:rPr>
                <w:rFonts w:ascii="宋体" w:hAnsi="宋体" w:eastAsia="宋体" w:cs="宋体"/>
                <w:color w:val="333333"/>
                <w:spacing w:val="-4"/>
                <w:sz w:val="18"/>
                <w:szCs w:val="18"/>
              </w:rPr>
              <w:t>全省</w:t>
            </w:r>
          </w:p>
        </w:tc>
        <w:tc>
          <w:tcPr>
            <w:tcW w:w="2564" w:type="dxa"/>
            <w:vAlign w:val="top"/>
          </w:tcPr>
          <w:p w14:paraId="1CB0288C">
            <w:pPr>
              <w:spacing w:before="171" w:line="196" w:lineRule="auto"/>
              <w:ind w:left="1137"/>
              <w:rPr>
                <w:rFonts w:ascii="Arial" w:hAnsi="Arial" w:eastAsia="Arial" w:cs="Arial"/>
                <w:sz w:val="18"/>
                <w:szCs w:val="18"/>
              </w:rPr>
            </w:pPr>
            <w:r>
              <w:rPr>
                <w:rFonts w:ascii="Arial" w:hAnsi="Arial" w:eastAsia="Arial" w:cs="Arial"/>
                <w:color w:val="333333"/>
                <w:spacing w:val="-1"/>
                <w:sz w:val="18"/>
                <w:szCs w:val="18"/>
              </w:rPr>
              <w:t>470</w:t>
            </w:r>
          </w:p>
        </w:tc>
        <w:tc>
          <w:tcPr>
            <w:tcW w:w="1021" w:type="dxa"/>
            <w:vAlign w:val="top"/>
          </w:tcPr>
          <w:p w14:paraId="53EB012D">
            <w:pPr>
              <w:spacing w:before="171"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6D0256BA">
            <w:pPr>
              <w:spacing w:line="259" w:lineRule="auto"/>
              <w:rPr>
                <w:rFonts w:ascii="Arial"/>
                <w:sz w:val="21"/>
              </w:rPr>
            </w:pPr>
          </w:p>
          <w:p w14:paraId="659BA061">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570552B1">
            <w:pPr>
              <w:spacing w:line="259" w:lineRule="auto"/>
              <w:rPr>
                <w:rFonts w:ascii="Arial"/>
                <w:sz w:val="21"/>
              </w:rPr>
            </w:pPr>
          </w:p>
          <w:p w14:paraId="1C3EE541">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543E948D">
            <w:pPr>
              <w:spacing w:line="259" w:lineRule="auto"/>
              <w:rPr>
                <w:rFonts w:ascii="Arial"/>
                <w:sz w:val="21"/>
              </w:rPr>
            </w:pPr>
          </w:p>
          <w:p w14:paraId="46648EE9">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7EB95F03">
            <w:pPr>
              <w:spacing w:line="259" w:lineRule="auto"/>
              <w:rPr>
                <w:rFonts w:ascii="Arial"/>
                <w:sz w:val="21"/>
              </w:rPr>
            </w:pPr>
          </w:p>
          <w:p w14:paraId="41B42BB2">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0076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restart"/>
            <w:tcBorders>
              <w:bottom w:val="nil"/>
            </w:tcBorders>
            <w:vAlign w:val="top"/>
          </w:tcPr>
          <w:p w14:paraId="071FA352">
            <w:pPr>
              <w:spacing w:line="296" w:lineRule="auto"/>
              <w:rPr>
                <w:rFonts w:ascii="Arial"/>
                <w:sz w:val="21"/>
              </w:rPr>
            </w:pPr>
          </w:p>
          <w:p w14:paraId="5A60A7C5">
            <w:pPr>
              <w:spacing w:line="296" w:lineRule="auto"/>
              <w:rPr>
                <w:rFonts w:ascii="Arial"/>
                <w:sz w:val="21"/>
              </w:rPr>
            </w:pPr>
          </w:p>
          <w:p w14:paraId="36586426">
            <w:pPr>
              <w:spacing w:line="296" w:lineRule="auto"/>
              <w:rPr>
                <w:rFonts w:ascii="Arial"/>
                <w:sz w:val="21"/>
              </w:rPr>
            </w:pPr>
          </w:p>
          <w:p w14:paraId="241B7417">
            <w:pPr>
              <w:spacing w:before="52" w:line="196" w:lineRule="auto"/>
              <w:ind w:left="215"/>
              <w:rPr>
                <w:rFonts w:ascii="Arial" w:hAnsi="Arial" w:eastAsia="Arial" w:cs="Arial"/>
                <w:sz w:val="18"/>
                <w:szCs w:val="18"/>
              </w:rPr>
            </w:pPr>
            <w:r>
              <w:rPr>
                <w:rFonts w:ascii="Arial" w:hAnsi="Arial" w:eastAsia="Arial" w:cs="Arial"/>
                <w:color w:val="333333"/>
                <w:spacing w:val="-10"/>
                <w:sz w:val="18"/>
                <w:szCs w:val="18"/>
              </w:rPr>
              <w:t>18</w:t>
            </w:r>
          </w:p>
        </w:tc>
        <w:tc>
          <w:tcPr>
            <w:tcW w:w="620" w:type="dxa"/>
            <w:vMerge w:val="restart"/>
            <w:tcBorders>
              <w:bottom w:val="nil"/>
            </w:tcBorders>
            <w:vAlign w:val="top"/>
          </w:tcPr>
          <w:p w14:paraId="1ED4D28C">
            <w:pPr>
              <w:spacing w:line="293" w:lineRule="auto"/>
              <w:rPr>
                <w:rFonts w:ascii="Arial"/>
                <w:sz w:val="21"/>
              </w:rPr>
            </w:pPr>
          </w:p>
          <w:p w14:paraId="74818530">
            <w:pPr>
              <w:spacing w:line="293" w:lineRule="auto"/>
              <w:rPr>
                <w:rFonts w:ascii="Arial"/>
                <w:sz w:val="21"/>
              </w:rPr>
            </w:pPr>
          </w:p>
          <w:p w14:paraId="0ACE046F">
            <w:pPr>
              <w:spacing w:line="294" w:lineRule="auto"/>
              <w:rPr>
                <w:rFonts w:ascii="Arial"/>
                <w:sz w:val="21"/>
              </w:rPr>
            </w:pPr>
          </w:p>
          <w:p w14:paraId="21B7BA8E">
            <w:pPr>
              <w:spacing w:before="58" w:line="219" w:lineRule="auto"/>
              <w:ind w:left="190"/>
              <w:rPr>
                <w:rFonts w:ascii="宋体" w:hAnsi="宋体" w:eastAsia="宋体" w:cs="宋体"/>
                <w:sz w:val="18"/>
                <w:szCs w:val="18"/>
              </w:rPr>
            </w:pPr>
            <w:r>
              <w:rPr>
                <w:rFonts w:ascii="宋体" w:hAnsi="宋体" w:eastAsia="宋体" w:cs="宋体"/>
                <w:color w:val="333333"/>
                <w:spacing w:val="-12"/>
                <w:sz w:val="18"/>
                <w:szCs w:val="18"/>
              </w:rPr>
              <w:t>山东</w:t>
            </w:r>
          </w:p>
        </w:tc>
        <w:tc>
          <w:tcPr>
            <w:tcW w:w="2564" w:type="dxa"/>
            <w:vAlign w:val="top"/>
          </w:tcPr>
          <w:p w14:paraId="7AB7E068">
            <w:pPr>
              <w:spacing w:before="39" w:line="209" w:lineRule="auto"/>
              <w:ind w:left="863" w:right="119" w:hanging="732"/>
              <w:rPr>
                <w:rFonts w:ascii="宋体" w:hAnsi="宋体" w:eastAsia="宋体" w:cs="宋体"/>
                <w:sz w:val="18"/>
                <w:szCs w:val="18"/>
              </w:rPr>
            </w:pPr>
            <w:r>
              <w:rPr>
                <w:rFonts w:ascii="宋体" w:hAnsi="宋体" w:eastAsia="宋体" w:cs="宋体"/>
                <w:color w:val="333333"/>
                <w:spacing w:val="-3"/>
                <w:sz w:val="18"/>
                <w:szCs w:val="18"/>
              </w:rPr>
              <w:t>济南市、淄博市、枣庄市、东</w:t>
            </w:r>
            <w:r>
              <w:rPr>
                <w:rFonts w:ascii="宋体" w:hAnsi="宋体" w:eastAsia="宋体" w:cs="宋体"/>
                <w:color w:val="333333"/>
                <w:spacing w:val="6"/>
                <w:sz w:val="18"/>
                <w:szCs w:val="18"/>
              </w:rPr>
              <w:t xml:space="preserve"> </w:t>
            </w:r>
            <w:r>
              <w:rPr>
                <w:rFonts w:ascii="宋体" w:hAnsi="宋体" w:eastAsia="宋体" w:cs="宋体"/>
                <w:color w:val="333333"/>
                <w:spacing w:val="-6"/>
                <w:sz w:val="18"/>
                <w:szCs w:val="18"/>
              </w:rPr>
              <w:t>营市、烟台</w:t>
            </w:r>
          </w:p>
        </w:tc>
        <w:tc>
          <w:tcPr>
            <w:tcW w:w="2564" w:type="dxa"/>
            <w:vMerge w:val="restart"/>
            <w:tcBorders>
              <w:bottom w:val="nil"/>
            </w:tcBorders>
            <w:vAlign w:val="top"/>
          </w:tcPr>
          <w:p w14:paraId="375EBB43">
            <w:pPr>
              <w:spacing w:line="328" w:lineRule="auto"/>
              <w:rPr>
                <w:rFonts w:ascii="Arial"/>
                <w:sz w:val="21"/>
              </w:rPr>
            </w:pPr>
          </w:p>
          <w:p w14:paraId="459A93C6">
            <w:pPr>
              <w:spacing w:line="329" w:lineRule="auto"/>
              <w:rPr>
                <w:rFonts w:ascii="Arial"/>
                <w:sz w:val="21"/>
              </w:rPr>
            </w:pPr>
          </w:p>
          <w:p w14:paraId="34872894">
            <w:pPr>
              <w:spacing w:before="52"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Merge w:val="restart"/>
            <w:tcBorders>
              <w:bottom w:val="nil"/>
            </w:tcBorders>
            <w:vAlign w:val="top"/>
          </w:tcPr>
          <w:p w14:paraId="66CD28F0">
            <w:pPr>
              <w:spacing w:line="331" w:lineRule="auto"/>
              <w:rPr>
                <w:rFonts w:ascii="Arial"/>
                <w:sz w:val="21"/>
              </w:rPr>
            </w:pPr>
          </w:p>
          <w:p w14:paraId="29FFF9B6">
            <w:pPr>
              <w:spacing w:line="331" w:lineRule="auto"/>
              <w:rPr>
                <w:rFonts w:ascii="Arial"/>
                <w:sz w:val="21"/>
              </w:rPr>
            </w:pPr>
          </w:p>
          <w:p w14:paraId="0F7E862A">
            <w:pPr>
              <w:spacing w:before="51" w:line="196" w:lineRule="auto"/>
              <w:ind w:left="386"/>
              <w:rPr>
                <w:rFonts w:ascii="Arial" w:hAnsi="Arial" w:eastAsia="Arial" w:cs="Arial"/>
                <w:sz w:val="18"/>
                <w:szCs w:val="18"/>
              </w:rPr>
            </w:pPr>
            <w:r>
              <w:rPr>
                <w:rFonts w:ascii="Arial" w:hAnsi="Arial" w:eastAsia="Arial" w:cs="Arial"/>
                <w:color w:val="333333"/>
                <w:spacing w:val="-4"/>
                <w:sz w:val="18"/>
                <w:szCs w:val="18"/>
              </w:rPr>
              <w:t>380</w:t>
            </w:r>
          </w:p>
        </w:tc>
        <w:tc>
          <w:tcPr>
            <w:tcW w:w="990" w:type="dxa"/>
            <w:vAlign w:val="top"/>
          </w:tcPr>
          <w:p w14:paraId="6A086A75">
            <w:pPr>
              <w:spacing w:before="39" w:line="209" w:lineRule="auto"/>
              <w:ind w:left="251" w:right="26" w:hanging="173"/>
              <w:rPr>
                <w:rFonts w:ascii="宋体" w:hAnsi="宋体" w:eastAsia="宋体" w:cs="宋体"/>
                <w:sz w:val="18"/>
                <w:szCs w:val="18"/>
              </w:rPr>
            </w:pPr>
            <w:r>
              <w:rPr>
                <w:rFonts w:ascii="宋体" w:hAnsi="宋体" w:eastAsia="宋体" w:cs="宋体"/>
                <w:color w:val="333333"/>
                <w:spacing w:val="-4"/>
                <w:sz w:val="18"/>
                <w:szCs w:val="18"/>
              </w:rPr>
              <w:t>烟台市、威</w:t>
            </w:r>
            <w:r>
              <w:rPr>
                <w:rFonts w:ascii="宋体" w:hAnsi="宋体" w:eastAsia="宋体" w:cs="宋体"/>
                <w:color w:val="333333"/>
                <w:sz w:val="18"/>
                <w:szCs w:val="18"/>
              </w:rPr>
              <w:t xml:space="preserve"> </w:t>
            </w:r>
            <w:r>
              <w:rPr>
                <w:rFonts w:ascii="宋体" w:hAnsi="宋体" w:eastAsia="宋体" w:cs="宋体"/>
                <w:color w:val="333333"/>
                <w:spacing w:val="-3"/>
                <w:sz w:val="18"/>
                <w:szCs w:val="18"/>
              </w:rPr>
              <w:t>海市、</w:t>
            </w:r>
          </w:p>
        </w:tc>
        <w:tc>
          <w:tcPr>
            <w:tcW w:w="991" w:type="dxa"/>
            <w:vMerge w:val="restart"/>
            <w:tcBorders>
              <w:bottom w:val="nil"/>
            </w:tcBorders>
            <w:vAlign w:val="top"/>
          </w:tcPr>
          <w:p w14:paraId="5DD4E70C">
            <w:pPr>
              <w:spacing w:line="324" w:lineRule="auto"/>
              <w:rPr>
                <w:rFonts w:ascii="Arial"/>
                <w:sz w:val="21"/>
              </w:rPr>
            </w:pPr>
          </w:p>
          <w:p w14:paraId="63CE10BF">
            <w:pPr>
              <w:spacing w:line="325" w:lineRule="auto"/>
              <w:rPr>
                <w:rFonts w:ascii="Arial"/>
                <w:sz w:val="21"/>
              </w:rPr>
            </w:pPr>
          </w:p>
          <w:p w14:paraId="3B483D71">
            <w:pPr>
              <w:spacing w:before="58" w:line="219" w:lineRule="auto"/>
              <w:ind w:left="315"/>
              <w:rPr>
                <w:rFonts w:ascii="宋体" w:hAnsi="宋体" w:eastAsia="宋体" w:cs="宋体"/>
                <w:sz w:val="18"/>
                <w:szCs w:val="18"/>
              </w:rPr>
            </w:pPr>
            <w:r>
              <w:rPr>
                <w:rFonts w:ascii="Arial" w:hAnsi="Arial" w:eastAsia="Arial" w:cs="Arial"/>
                <w:color w:val="333333"/>
                <w:spacing w:val="-4"/>
                <w:sz w:val="18"/>
                <w:szCs w:val="18"/>
              </w:rPr>
              <w:t>7-9</w:t>
            </w:r>
            <w:r>
              <w:rPr>
                <w:rFonts w:ascii="宋体" w:hAnsi="宋体" w:eastAsia="宋体" w:cs="宋体"/>
                <w:color w:val="333333"/>
                <w:spacing w:val="-4"/>
                <w:sz w:val="18"/>
                <w:szCs w:val="18"/>
              </w:rPr>
              <w:t>月</w:t>
            </w:r>
          </w:p>
        </w:tc>
        <w:tc>
          <w:tcPr>
            <w:tcW w:w="990" w:type="dxa"/>
            <w:vMerge w:val="restart"/>
            <w:tcBorders>
              <w:bottom w:val="nil"/>
            </w:tcBorders>
            <w:vAlign w:val="top"/>
          </w:tcPr>
          <w:p w14:paraId="3EC85E7E">
            <w:pPr>
              <w:spacing w:line="328" w:lineRule="auto"/>
              <w:rPr>
                <w:rFonts w:ascii="Arial"/>
                <w:sz w:val="21"/>
              </w:rPr>
            </w:pPr>
          </w:p>
          <w:p w14:paraId="47C0630E">
            <w:pPr>
              <w:spacing w:line="329" w:lineRule="auto"/>
              <w:rPr>
                <w:rFonts w:ascii="Arial"/>
                <w:sz w:val="21"/>
              </w:rPr>
            </w:pPr>
          </w:p>
          <w:p w14:paraId="0D33A3B1">
            <w:pPr>
              <w:spacing w:before="52" w:line="196" w:lineRule="auto"/>
              <w:ind w:left="384"/>
              <w:rPr>
                <w:rFonts w:ascii="Arial" w:hAnsi="Arial" w:eastAsia="Arial" w:cs="Arial"/>
                <w:sz w:val="18"/>
                <w:szCs w:val="18"/>
              </w:rPr>
            </w:pPr>
            <w:r>
              <w:rPr>
                <w:rFonts w:ascii="Arial" w:hAnsi="Arial" w:eastAsia="Arial" w:cs="Arial"/>
                <w:color w:val="333333"/>
                <w:spacing w:val="-4"/>
                <w:sz w:val="18"/>
                <w:szCs w:val="18"/>
              </w:rPr>
              <w:t>570</w:t>
            </w:r>
          </w:p>
        </w:tc>
        <w:tc>
          <w:tcPr>
            <w:tcW w:w="1012" w:type="dxa"/>
            <w:vMerge w:val="restart"/>
            <w:tcBorders>
              <w:bottom w:val="nil"/>
            </w:tcBorders>
            <w:vAlign w:val="top"/>
          </w:tcPr>
          <w:p w14:paraId="07F1196E">
            <w:pPr>
              <w:spacing w:line="328" w:lineRule="auto"/>
              <w:rPr>
                <w:rFonts w:ascii="Arial"/>
                <w:sz w:val="21"/>
              </w:rPr>
            </w:pPr>
          </w:p>
          <w:p w14:paraId="7A602808">
            <w:pPr>
              <w:spacing w:line="329" w:lineRule="auto"/>
              <w:rPr>
                <w:rFonts w:ascii="Arial"/>
                <w:sz w:val="21"/>
              </w:rPr>
            </w:pPr>
          </w:p>
          <w:p w14:paraId="12E25B9F">
            <w:pPr>
              <w:spacing w:before="52" w:line="196" w:lineRule="auto"/>
              <w:ind w:left="373"/>
              <w:rPr>
                <w:rFonts w:ascii="Arial" w:hAnsi="Arial" w:eastAsia="Arial" w:cs="Arial"/>
                <w:sz w:val="18"/>
                <w:szCs w:val="18"/>
              </w:rPr>
            </w:pPr>
            <w:r>
              <w:rPr>
                <w:rFonts w:ascii="Arial" w:hAnsi="Arial" w:eastAsia="Arial" w:cs="Arial"/>
                <w:color w:val="333333"/>
                <w:spacing w:val="-2"/>
                <w:sz w:val="18"/>
                <w:szCs w:val="18"/>
              </w:rPr>
              <w:t>450</w:t>
            </w:r>
          </w:p>
        </w:tc>
      </w:tr>
      <w:tr w14:paraId="032C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6CDCCB66">
            <w:pPr>
              <w:rPr>
                <w:rFonts w:ascii="Arial"/>
                <w:sz w:val="21"/>
              </w:rPr>
            </w:pPr>
          </w:p>
        </w:tc>
        <w:tc>
          <w:tcPr>
            <w:tcW w:w="620" w:type="dxa"/>
            <w:vMerge w:val="continue"/>
            <w:tcBorders>
              <w:top w:val="nil"/>
              <w:bottom w:val="nil"/>
            </w:tcBorders>
            <w:vAlign w:val="top"/>
          </w:tcPr>
          <w:p w14:paraId="5954413F">
            <w:pPr>
              <w:rPr>
                <w:rFonts w:ascii="Arial"/>
                <w:sz w:val="21"/>
              </w:rPr>
            </w:pPr>
          </w:p>
        </w:tc>
        <w:tc>
          <w:tcPr>
            <w:tcW w:w="2564" w:type="dxa"/>
            <w:vAlign w:val="top"/>
          </w:tcPr>
          <w:p w14:paraId="00FC69CD">
            <w:pPr>
              <w:spacing w:before="39" w:line="209" w:lineRule="auto"/>
              <w:ind w:left="884" w:right="112" w:hanging="742"/>
              <w:rPr>
                <w:rFonts w:ascii="宋体" w:hAnsi="宋体" w:eastAsia="宋体" w:cs="宋体"/>
                <w:sz w:val="18"/>
                <w:szCs w:val="18"/>
              </w:rPr>
            </w:pPr>
            <w:r>
              <w:rPr>
                <w:rFonts w:ascii="宋体" w:hAnsi="宋体" w:eastAsia="宋体" w:cs="宋体"/>
                <w:color w:val="333333"/>
                <w:spacing w:val="-3"/>
                <w:sz w:val="18"/>
                <w:szCs w:val="18"/>
              </w:rPr>
              <w:t>市、潍坊市、济宁市、泰安市</w:t>
            </w:r>
            <w:r>
              <w:rPr>
                <w:rFonts w:ascii="宋体" w:hAnsi="宋体" w:eastAsia="宋体" w:cs="宋体"/>
                <w:color w:val="333333"/>
                <w:spacing w:val="2"/>
                <w:sz w:val="18"/>
                <w:szCs w:val="18"/>
              </w:rPr>
              <w:t xml:space="preserve"> </w:t>
            </w:r>
            <w:r>
              <w:rPr>
                <w:rFonts w:ascii="宋体" w:hAnsi="宋体" w:eastAsia="宋体" w:cs="宋体"/>
                <w:color w:val="333333"/>
                <w:spacing w:val="-9"/>
                <w:sz w:val="18"/>
                <w:szCs w:val="18"/>
              </w:rPr>
              <w:t>、威海市、</w:t>
            </w:r>
          </w:p>
        </w:tc>
        <w:tc>
          <w:tcPr>
            <w:tcW w:w="2564" w:type="dxa"/>
            <w:vMerge w:val="continue"/>
            <w:tcBorders>
              <w:top w:val="nil"/>
              <w:bottom w:val="nil"/>
            </w:tcBorders>
            <w:vAlign w:val="top"/>
          </w:tcPr>
          <w:p w14:paraId="5F526EB3">
            <w:pPr>
              <w:rPr>
                <w:rFonts w:ascii="Arial"/>
                <w:sz w:val="21"/>
              </w:rPr>
            </w:pPr>
          </w:p>
        </w:tc>
        <w:tc>
          <w:tcPr>
            <w:tcW w:w="1021" w:type="dxa"/>
            <w:vMerge w:val="continue"/>
            <w:tcBorders>
              <w:top w:val="nil"/>
              <w:bottom w:val="nil"/>
            </w:tcBorders>
            <w:vAlign w:val="top"/>
          </w:tcPr>
          <w:p w14:paraId="01622256">
            <w:pPr>
              <w:rPr>
                <w:rFonts w:ascii="Arial"/>
                <w:sz w:val="21"/>
              </w:rPr>
            </w:pPr>
          </w:p>
        </w:tc>
        <w:tc>
          <w:tcPr>
            <w:tcW w:w="990" w:type="dxa"/>
            <w:vAlign w:val="top"/>
          </w:tcPr>
          <w:p w14:paraId="015FF244">
            <w:pPr>
              <w:spacing w:before="172" w:line="219" w:lineRule="auto"/>
              <w:ind w:left="348"/>
              <w:rPr>
                <w:rFonts w:ascii="宋体" w:hAnsi="宋体" w:eastAsia="宋体" w:cs="宋体"/>
                <w:sz w:val="18"/>
                <w:szCs w:val="18"/>
              </w:rPr>
            </w:pPr>
            <w:r>
              <w:rPr>
                <w:rFonts w:ascii="宋体" w:hAnsi="宋体" w:eastAsia="宋体" w:cs="宋体"/>
                <w:color w:val="333333"/>
                <w:spacing w:val="-19"/>
                <w:sz w:val="18"/>
                <w:szCs w:val="18"/>
              </w:rPr>
              <w:t>日照市</w:t>
            </w:r>
          </w:p>
        </w:tc>
        <w:tc>
          <w:tcPr>
            <w:tcW w:w="991" w:type="dxa"/>
            <w:vMerge w:val="continue"/>
            <w:tcBorders>
              <w:top w:val="nil"/>
              <w:bottom w:val="nil"/>
            </w:tcBorders>
            <w:vAlign w:val="top"/>
          </w:tcPr>
          <w:p w14:paraId="16E22604">
            <w:pPr>
              <w:rPr>
                <w:rFonts w:ascii="Arial"/>
                <w:sz w:val="21"/>
              </w:rPr>
            </w:pPr>
          </w:p>
        </w:tc>
        <w:tc>
          <w:tcPr>
            <w:tcW w:w="990" w:type="dxa"/>
            <w:vMerge w:val="continue"/>
            <w:tcBorders>
              <w:top w:val="nil"/>
              <w:bottom w:val="nil"/>
            </w:tcBorders>
            <w:vAlign w:val="top"/>
          </w:tcPr>
          <w:p w14:paraId="1152B9BF">
            <w:pPr>
              <w:rPr>
                <w:rFonts w:ascii="Arial"/>
                <w:sz w:val="21"/>
              </w:rPr>
            </w:pPr>
          </w:p>
        </w:tc>
        <w:tc>
          <w:tcPr>
            <w:tcW w:w="1012" w:type="dxa"/>
            <w:vMerge w:val="continue"/>
            <w:tcBorders>
              <w:top w:val="nil"/>
              <w:bottom w:val="nil"/>
            </w:tcBorders>
            <w:vAlign w:val="top"/>
          </w:tcPr>
          <w:p w14:paraId="14C4F6C7">
            <w:pPr>
              <w:rPr>
                <w:rFonts w:ascii="Arial"/>
                <w:sz w:val="21"/>
              </w:rPr>
            </w:pPr>
          </w:p>
        </w:tc>
      </w:tr>
      <w:tr w14:paraId="1D34A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13" w:type="dxa"/>
            <w:vMerge w:val="continue"/>
            <w:tcBorders>
              <w:top w:val="nil"/>
              <w:bottom w:val="nil"/>
            </w:tcBorders>
            <w:vAlign w:val="top"/>
          </w:tcPr>
          <w:p w14:paraId="314F3A2E">
            <w:pPr>
              <w:rPr>
                <w:rFonts w:ascii="Arial"/>
                <w:sz w:val="21"/>
              </w:rPr>
            </w:pPr>
          </w:p>
        </w:tc>
        <w:tc>
          <w:tcPr>
            <w:tcW w:w="620" w:type="dxa"/>
            <w:vMerge w:val="continue"/>
            <w:tcBorders>
              <w:top w:val="nil"/>
              <w:bottom w:val="nil"/>
            </w:tcBorders>
            <w:vAlign w:val="top"/>
          </w:tcPr>
          <w:p w14:paraId="60AEA7FD">
            <w:pPr>
              <w:rPr>
                <w:rFonts w:ascii="Arial"/>
                <w:sz w:val="21"/>
              </w:rPr>
            </w:pPr>
          </w:p>
        </w:tc>
        <w:tc>
          <w:tcPr>
            <w:tcW w:w="2564" w:type="dxa"/>
            <w:vAlign w:val="top"/>
          </w:tcPr>
          <w:p w14:paraId="1F45FA33">
            <w:pPr>
              <w:spacing w:before="250" w:line="219" w:lineRule="auto"/>
              <w:ind w:left="1121"/>
              <w:rPr>
                <w:rFonts w:ascii="宋体" w:hAnsi="宋体" w:eastAsia="宋体" w:cs="宋体"/>
                <w:sz w:val="18"/>
                <w:szCs w:val="18"/>
              </w:rPr>
            </w:pPr>
            <w:r>
              <w:rPr>
                <w:rFonts w:ascii="宋体" w:hAnsi="宋体" w:eastAsia="宋体" w:cs="宋体"/>
                <w:color w:val="333333"/>
                <w:spacing w:val="-19"/>
                <w:sz w:val="18"/>
                <w:szCs w:val="18"/>
              </w:rPr>
              <w:t>日照市</w:t>
            </w:r>
          </w:p>
        </w:tc>
        <w:tc>
          <w:tcPr>
            <w:tcW w:w="2564" w:type="dxa"/>
            <w:vMerge w:val="continue"/>
            <w:tcBorders>
              <w:top w:val="nil"/>
            </w:tcBorders>
            <w:vAlign w:val="top"/>
          </w:tcPr>
          <w:p w14:paraId="7A454EE4">
            <w:pPr>
              <w:rPr>
                <w:rFonts w:ascii="Arial"/>
                <w:sz w:val="21"/>
              </w:rPr>
            </w:pPr>
          </w:p>
        </w:tc>
        <w:tc>
          <w:tcPr>
            <w:tcW w:w="1021" w:type="dxa"/>
            <w:vMerge w:val="continue"/>
            <w:tcBorders>
              <w:top w:val="nil"/>
            </w:tcBorders>
            <w:vAlign w:val="top"/>
          </w:tcPr>
          <w:p w14:paraId="67BEF168">
            <w:pPr>
              <w:rPr>
                <w:rFonts w:ascii="Arial"/>
                <w:sz w:val="21"/>
              </w:rPr>
            </w:pPr>
          </w:p>
        </w:tc>
        <w:tc>
          <w:tcPr>
            <w:tcW w:w="990" w:type="dxa"/>
            <w:vAlign w:val="top"/>
          </w:tcPr>
          <w:p w14:paraId="5F366DF1">
            <w:pPr>
              <w:rPr>
                <w:rFonts w:ascii="Arial"/>
                <w:sz w:val="21"/>
              </w:rPr>
            </w:pPr>
          </w:p>
        </w:tc>
        <w:tc>
          <w:tcPr>
            <w:tcW w:w="991" w:type="dxa"/>
            <w:vMerge w:val="continue"/>
            <w:tcBorders>
              <w:top w:val="nil"/>
            </w:tcBorders>
            <w:vAlign w:val="top"/>
          </w:tcPr>
          <w:p w14:paraId="6B76C405">
            <w:pPr>
              <w:rPr>
                <w:rFonts w:ascii="Arial"/>
                <w:sz w:val="21"/>
              </w:rPr>
            </w:pPr>
          </w:p>
        </w:tc>
        <w:tc>
          <w:tcPr>
            <w:tcW w:w="990" w:type="dxa"/>
            <w:vMerge w:val="continue"/>
            <w:tcBorders>
              <w:top w:val="nil"/>
            </w:tcBorders>
            <w:vAlign w:val="top"/>
          </w:tcPr>
          <w:p w14:paraId="48106189">
            <w:pPr>
              <w:rPr>
                <w:rFonts w:ascii="Arial"/>
                <w:sz w:val="21"/>
              </w:rPr>
            </w:pPr>
          </w:p>
        </w:tc>
        <w:tc>
          <w:tcPr>
            <w:tcW w:w="1012" w:type="dxa"/>
            <w:vMerge w:val="continue"/>
            <w:tcBorders>
              <w:top w:val="nil"/>
            </w:tcBorders>
            <w:vAlign w:val="top"/>
          </w:tcPr>
          <w:p w14:paraId="1043C4B0">
            <w:pPr>
              <w:rPr>
                <w:rFonts w:ascii="Arial"/>
                <w:sz w:val="21"/>
              </w:rPr>
            </w:pPr>
          </w:p>
        </w:tc>
      </w:tr>
      <w:tr w14:paraId="4B3CB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tcBorders>
            <w:vAlign w:val="top"/>
          </w:tcPr>
          <w:p w14:paraId="6928A78C">
            <w:pPr>
              <w:rPr>
                <w:rFonts w:ascii="Arial"/>
                <w:sz w:val="21"/>
              </w:rPr>
            </w:pPr>
          </w:p>
        </w:tc>
        <w:tc>
          <w:tcPr>
            <w:tcW w:w="620" w:type="dxa"/>
            <w:vMerge w:val="continue"/>
            <w:tcBorders>
              <w:top w:val="nil"/>
            </w:tcBorders>
            <w:vAlign w:val="top"/>
          </w:tcPr>
          <w:p w14:paraId="187DCE36">
            <w:pPr>
              <w:rPr>
                <w:rFonts w:ascii="Arial"/>
                <w:sz w:val="21"/>
              </w:rPr>
            </w:pPr>
          </w:p>
        </w:tc>
        <w:tc>
          <w:tcPr>
            <w:tcW w:w="2564" w:type="dxa"/>
            <w:vAlign w:val="top"/>
          </w:tcPr>
          <w:p w14:paraId="3C82793A">
            <w:pPr>
              <w:spacing w:before="175"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6583EE33">
            <w:pPr>
              <w:spacing w:before="177" w:line="196" w:lineRule="auto"/>
              <w:ind w:left="1137"/>
              <w:rPr>
                <w:rFonts w:ascii="Arial" w:hAnsi="Arial" w:eastAsia="Arial" w:cs="Arial"/>
                <w:sz w:val="18"/>
                <w:szCs w:val="18"/>
              </w:rPr>
            </w:pPr>
            <w:r>
              <w:rPr>
                <w:rFonts w:ascii="Arial" w:hAnsi="Arial" w:eastAsia="Arial" w:cs="Arial"/>
                <w:color w:val="333333"/>
                <w:spacing w:val="-1"/>
                <w:sz w:val="18"/>
                <w:szCs w:val="18"/>
              </w:rPr>
              <w:t>460</w:t>
            </w:r>
          </w:p>
        </w:tc>
        <w:tc>
          <w:tcPr>
            <w:tcW w:w="1021" w:type="dxa"/>
            <w:vAlign w:val="top"/>
          </w:tcPr>
          <w:p w14:paraId="53A4AED0">
            <w:pPr>
              <w:spacing w:before="177" w:line="196" w:lineRule="auto"/>
              <w:ind w:left="386"/>
              <w:rPr>
                <w:rFonts w:ascii="Arial" w:hAnsi="Arial" w:eastAsia="Arial" w:cs="Arial"/>
                <w:sz w:val="18"/>
                <w:szCs w:val="18"/>
              </w:rPr>
            </w:pPr>
            <w:r>
              <w:rPr>
                <w:rFonts w:ascii="Arial" w:hAnsi="Arial" w:eastAsia="Arial" w:cs="Arial"/>
                <w:color w:val="333333"/>
                <w:spacing w:val="-4"/>
                <w:sz w:val="18"/>
                <w:szCs w:val="18"/>
              </w:rPr>
              <w:t>360</w:t>
            </w:r>
          </w:p>
        </w:tc>
        <w:tc>
          <w:tcPr>
            <w:tcW w:w="990" w:type="dxa"/>
            <w:vAlign w:val="top"/>
          </w:tcPr>
          <w:p w14:paraId="0A9FBC99">
            <w:pPr>
              <w:spacing w:line="264" w:lineRule="auto"/>
              <w:rPr>
                <w:rFonts w:ascii="Arial"/>
                <w:sz w:val="21"/>
              </w:rPr>
            </w:pPr>
          </w:p>
          <w:p w14:paraId="413A59B5">
            <w:pPr>
              <w:spacing w:before="52"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3DB7C648">
            <w:pPr>
              <w:spacing w:line="264" w:lineRule="auto"/>
              <w:rPr>
                <w:rFonts w:ascii="Arial"/>
                <w:sz w:val="21"/>
              </w:rPr>
            </w:pPr>
          </w:p>
          <w:p w14:paraId="397A997F">
            <w:pPr>
              <w:spacing w:before="52"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1E040587">
            <w:pPr>
              <w:spacing w:line="264" w:lineRule="auto"/>
              <w:rPr>
                <w:rFonts w:ascii="Arial"/>
                <w:sz w:val="21"/>
              </w:rPr>
            </w:pPr>
          </w:p>
          <w:p w14:paraId="1FABD9AE">
            <w:pPr>
              <w:spacing w:before="52"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78FDE877">
            <w:pPr>
              <w:spacing w:line="264" w:lineRule="auto"/>
              <w:rPr>
                <w:rFonts w:ascii="Arial"/>
                <w:sz w:val="21"/>
              </w:rPr>
            </w:pPr>
          </w:p>
          <w:p w14:paraId="2BA0C6C5">
            <w:pPr>
              <w:spacing w:before="52"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45048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Align w:val="top"/>
          </w:tcPr>
          <w:p w14:paraId="7E0E3876">
            <w:pPr>
              <w:spacing w:before="178" w:line="196" w:lineRule="auto"/>
              <w:ind w:left="215"/>
              <w:rPr>
                <w:rFonts w:ascii="Arial" w:hAnsi="Arial" w:eastAsia="Arial" w:cs="Arial"/>
                <w:sz w:val="18"/>
                <w:szCs w:val="18"/>
              </w:rPr>
            </w:pPr>
            <w:r>
              <w:rPr>
                <w:rFonts w:ascii="Arial" w:hAnsi="Arial" w:eastAsia="Arial" w:cs="Arial"/>
                <w:color w:val="333333"/>
                <w:spacing w:val="-10"/>
                <w:sz w:val="18"/>
                <w:szCs w:val="18"/>
              </w:rPr>
              <w:t>19</w:t>
            </w:r>
          </w:p>
        </w:tc>
        <w:tc>
          <w:tcPr>
            <w:tcW w:w="620" w:type="dxa"/>
            <w:vAlign w:val="top"/>
          </w:tcPr>
          <w:p w14:paraId="21B49F7A">
            <w:pPr>
              <w:spacing w:before="174" w:line="219" w:lineRule="auto"/>
              <w:ind w:left="141"/>
              <w:rPr>
                <w:rFonts w:ascii="宋体" w:hAnsi="宋体" w:eastAsia="宋体" w:cs="宋体"/>
                <w:sz w:val="18"/>
                <w:szCs w:val="18"/>
              </w:rPr>
            </w:pPr>
            <w:r>
              <w:rPr>
                <w:rFonts w:ascii="宋体" w:hAnsi="宋体" w:eastAsia="宋体" w:cs="宋体"/>
                <w:color w:val="333333"/>
                <w:spacing w:val="-4"/>
                <w:sz w:val="18"/>
                <w:szCs w:val="18"/>
              </w:rPr>
              <w:t>青岛</w:t>
            </w:r>
          </w:p>
        </w:tc>
        <w:tc>
          <w:tcPr>
            <w:tcW w:w="2564" w:type="dxa"/>
            <w:vAlign w:val="top"/>
          </w:tcPr>
          <w:p w14:paraId="606478DA">
            <w:pPr>
              <w:spacing w:before="174" w:line="219" w:lineRule="auto"/>
              <w:ind w:left="1117"/>
              <w:rPr>
                <w:rFonts w:ascii="宋体" w:hAnsi="宋体" w:eastAsia="宋体" w:cs="宋体"/>
                <w:sz w:val="18"/>
                <w:szCs w:val="18"/>
              </w:rPr>
            </w:pPr>
            <w:r>
              <w:rPr>
                <w:rFonts w:ascii="宋体" w:hAnsi="宋体" w:eastAsia="宋体" w:cs="宋体"/>
                <w:color w:val="333333"/>
                <w:spacing w:val="-4"/>
                <w:sz w:val="18"/>
                <w:szCs w:val="18"/>
              </w:rPr>
              <w:t>全市</w:t>
            </w:r>
          </w:p>
        </w:tc>
        <w:tc>
          <w:tcPr>
            <w:tcW w:w="2564" w:type="dxa"/>
            <w:vAlign w:val="top"/>
          </w:tcPr>
          <w:p w14:paraId="7B78AA55">
            <w:pPr>
              <w:spacing w:before="178" w:line="196" w:lineRule="auto"/>
              <w:ind w:left="1137"/>
              <w:rPr>
                <w:rFonts w:ascii="Arial" w:hAnsi="Arial" w:eastAsia="Arial" w:cs="Arial"/>
                <w:sz w:val="18"/>
                <w:szCs w:val="18"/>
              </w:rPr>
            </w:pPr>
            <w:r>
              <w:rPr>
                <w:rFonts w:ascii="Arial" w:hAnsi="Arial" w:eastAsia="Arial" w:cs="Arial"/>
                <w:color w:val="333333"/>
                <w:spacing w:val="-1"/>
                <w:sz w:val="18"/>
                <w:szCs w:val="18"/>
              </w:rPr>
              <w:t>490</w:t>
            </w:r>
          </w:p>
        </w:tc>
        <w:tc>
          <w:tcPr>
            <w:tcW w:w="1021" w:type="dxa"/>
            <w:vAlign w:val="top"/>
          </w:tcPr>
          <w:p w14:paraId="1C3C3057">
            <w:pPr>
              <w:spacing w:before="178" w:line="196" w:lineRule="auto"/>
              <w:ind w:left="386"/>
              <w:rPr>
                <w:rFonts w:ascii="Arial" w:hAnsi="Arial" w:eastAsia="Arial" w:cs="Arial"/>
                <w:sz w:val="18"/>
                <w:szCs w:val="18"/>
              </w:rPr>
            </w:pPr>
            <w:r>
              <w:rPr>
                <w:rFonts w:ascii="Arial" w:hAnsi="Arial" w:eastAsia="Arial" w:cs="Arial"/>
                <w:color w:val="333333"/>
                <w:spacing w:val="-4"/>
                <w:sz w:val="18"/>
                <w:szCs w:val="18"/>
              </w:rPr>
              <w:t>380</w:t>
            </w:r>
          </w:p>
        </w:tc>
        <w:tc>
          <w:tcPr>
            <w:tcW w:w="990" w:type="dxa"/>
            <w:vAlign w:val="top"/>
          </w:tcPr>
          <w:p w14:paraId="3D501EE4">
            <w:pPr>
              <w:spacing w:before="174" w:line="219" w:lineRule="auto"/>
              <w:ind w:left="348"/>
              <w:rPr>
                <w:rFonts w:ascii="宋体" w:hAnsi="宋体" w:eastAsia="宋体" w:cs="宋体"/>
                <w:sz w:val="18"/>
                <w:szCs w:val="18"/>
              </w:rPr>
            </w:pPr>
            <w:r>
              <w:rPr>
                <w:rFonts w:ascii="宋体" w:hAnsi="宋体" w:eastAsia="宋体" w:cs="宋体"/>
                <w:color w:val="333333"/>
                <w:spacing w:val="-4"/>
                <w:sz w:val="18"/>
                <w:szCs w:val="18"/>
              </w:rPr>
              <w:t>全市</w:t>
            </w:r>
          </w:p>
        </w:tc>
        <w:tc>
          <w:tcPr>
            <w:tcW w:w="991" w:type="dxa"/>
            <w:vAlign w:val="top"/>
          </w:tcPr>
          <w:p w14:paraId="6DD3C0C9">
            <w:pPr>
              <w:spacing w:before="174" w:line="219" w:lineRule="auto"/>
              <w:ind w:left="315"/>
              <w:rPr>
                <w:rFonts w:ascii="宋体" w:hAnsi="宋体" w:eastAsia="宋体" w:cs="宋体"/>
                <w:sz w:val="18"/>
                <w:szCs w:val="18"/>
              </w:rPr>
            </w:pPr>
            <w:r>
              <w:rPr>
                <w:rFonts w:ascii="Arial" w:hAnsi="Arial" w:eastAsia="Arial" w:cs="Arial"/>
                <w:color w:val="333333"/>
                <w:spacing w:val="-4"/>
                <w:sz w:val="18"/>
                <w:szCs w:val="18"/>
              </w:rPr>
              <w:t>7-9</w:t>
            </w:r>
            <w:r>
              <w:rPr>
                <w:rFonts w:ascii="宋体" w:hAnsi="宋体" w:eastAsia="宋体" w:cs="宋体"/>
                <w:color w:val="333333"/>
                <w:spacing w:val="-4"/>
                <w:sz w:val="18"/>
                <w:szCs w:val="18"/>
              </w:rPr>
              <w:t>月</w:t>
            </w:r>
          </w:p>
        </w:tc>
        <w:tc>
          <w:tcPr>
            <w:tcW w:w="990" w:type="dxa"/>
            <w:vAlign w:val="top"/>
          </w:tcPr>
          <w:p w14:paraId="28738819">
            <w:pPr>
              <w:spacing w:before="178" w:line="196" w:lineRule="auto"/>
              <w:ind w:left="384"/>
              <w:rPr>
                <w:rFonts w:ascii="Arial" w:hAnsi="Arial" w:eastAsia="Arial" w:cs="Arial"/>
                <w:sz w:val="18"/>
                <w:szCs w:val="18"/>
              </w:rPr>
            </w:pPr>
            <w:r>
              <w:rPr>
                <w:rFonts w:ascii="Arial" w:hAnsi="Arial" w:eastAsia="Arial" w:cs="Arial"/>
                <w:color w:val="333333"/>
                <w:spacing w:val="-4"/>
                <w:sz w:val="18"/>
                <w:szCs w:val="18"/>
              </w:rPr>
              <w:t>590</w:t>
            </w:r>
          </w:p>
        </w:tc>
        <w:tc>
          <w:tcPr>
            <w:tcW w:w="1012" w:type="dxa"/>
            <w:vAlign w:val="top"/>
          </w:tcPr>
          <w:p w14:paraId="67BA09EC">
            <w:pPr>
              <w:spacing w:before="178" w:line="196" w:lineRule="auto"/>
              <w:ind w:left="373"/>
              <w:rPr>
                <w:rFonts w:ascii="Arial" w:hAnsi="Arial" w:eastAsia="Arial" w:cs="Arial"/>
                <w:sz w:val="18"/>
                <w:szCs w:val="18"/>
              </w:rPr>
            </w:pPr>
            <w:r>
              <w:rPr>
                <w:rFonts w:ascii="Arial" w:hAnsi="Arial" w:eastAsia="Arial" w:cs="Arial"/>
                <w:color w:val="333333"/>
                <w:spacing w:val="-2"/>
                <w:sz w:val="18"/>
                <w:szCs w:val="18"/>
              </w:rPr>
              <w:t>450</w:t>
            </w:r>
          </w:p>
        </w:tc>
      </w:tr>
      <w:tr w14:paraId="2E0AB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restart"/>
            <w:tcBorders>
              <w:bottom w:val="nil"/>
            </w:tcBorders>
            <w:vAlign w:val="top"/>
          </w:tcPr>
          <w:p w14:paraId="269EAB3A">
            <w:pPr>
              <w:spacing w:line="357" w:lineRule="auto"/>
              <w:rPr>
                <w:rFonts w:ascii="Arial"/>
                <w:sz w:val="21"/>
              </w:rPr>
            </w:pPr>
          </w:p>
          <w:p w14:paraId="4F0F3FE6">
            <w:pPr>
              <w:spacing w:before="52" w:line="196" w:lineRule="auto"/>
              <w:ind w:left="169"/>
              <w:rPr>
                <w:rFonts w:ascii="Arial" w:hAnsi="Arial" w:eastAsia="Arial" w:cs="Arial"/>
                <w:sz w:val="18"/>
                <w:szCs w:val="18"/>
              </w:rPr>
            </w:pPr>
            <w:r>
              <w:rPr>
                <w:rFonts w:ascii="Arial" w:hAnsi="Arial" w:eastAsia="Arial" w:cs="Arial"/>
                <w:color w:val="333333"/>
                <w:spacing w:val="-3"/>
                <w:sz w:val="18"/>
                <w:szCs w:val="18"/>
              </w:rPr>
              <w:t>20</w:t>
            </w:r>
          </w:p>
        </w:tc>
        <w:tc>
          <w:tcPr>
            <w:tcW w:w="620" w:type="dxa"/>
            <w:vMerge w:val="restart"/>
            <w:tcBorders>
              <w:bottom w:val="nil"/>
            </w:tcBorders>
            <w:vAlign w:val="top"/>
          </w:tcPr>
          <w:p w14:paraId="2E3DB006">
            <w:pPr>
              <w:spacing w:line="349" w:lineRule="auto"/>
              <w:rPr>
                <w:rFonts w:ascii="Arial"/>
                <w:sz w:val="21"/>
              </w:rPr>
            </w:pPr>
          </w:p>
          <w:p w14:paraId="69936179">
            <w:pPr>
              <w:spacing w:before="59" w:line="221" w:lineRule="auto"/>
              <w:ind w:left="140"/>
              <w:rPr>
                <w:rFonts w:ascii="宋体" w:hAnsi="宋体" w:eastAsia="宋体" w:cs="宋体"/>
                <w:sz w:val="18"/>
                <w:szCs w:val="18"/>
              </w:rPr>
            </w:pPr>
            <w:r>
              <w:rPr>
                <w:rFonts w:ascii="宋体" w:hAnsi="宋体" w:eastAsia="宋体" w:cs="宋体"/>
                <w:color w:val="333333"/>
                <w:spacing w:val="-4"/>
                <w:sz w:val="18"/>
                <w:szCs w:val="18"/>
              </w:rPr>
              <w:t>河南</w:t>
            </w:r>
          </w:p>
        </w:tc>
        <w:tc>
          <w:tcPr>
            <w:tcW w:w="2564" w:type="dxa"/>
            <w:vAlign w:val="top"/>
          </w:tcPr>
          <w:p w14:paraId="1BCCBC2B">
            <w:pPr>
              <w:spacing w:before="176" w:line="219" w:lineRule="auto"/>
              <w:ind w:left="1038"/>
              <w:rPr>
                <w:rFonts w:ascii="宋体" w:hAnsi="宋体" w:eastAsia="宋体" w:cs="宋体"/>
                <w:sz w:val="18"/>
                <w:szCs w:val="18"/>
              </w:rPr>
            </w:pPr>
            <w:r>
              <w:rPr>
                <w:rFonts w:ascii="宋体" w:hAnsi="宋体" w:eastAsia="宋体" w:cs="宋体"/>
                <w:color w:val="333333"/>
                <w:spacing w:val="-5"/>
                <w:sz w:val="18"/>
                <w:szCs w:val="18"/>
              </w:rPr>
              <w:t>郑州市</w:t>
            </w:r>
          </w:p>
        </w:tc>
        <w:tc>
          <w:tcPr>
            <w:tcW w:w="2564" w:type="dxa"/>
            <w:vAlign w:val="top"/>
          </w:tcPr>
          <w:p w14:paraId="5ED5A9BF">
            <w:pPr>
              <w:spacing w:before="176"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4A67657E">
            <w:pPr>
              <w:spacing w:before="176" w:line="196" w:lineRule="auto"/>
              <w:ind w:left="386"/>
              <w:rPr>
                <w:rFonts w:ascii="Arial" w:hAnsi="Arial" w:eastAsia="Arial" w:cs="Arial"/>
                <w:sz w:val="18"/>
                <w:szCs w:val="18"/>
              </w:rPr>
            </w:pPr>
            <w:r>
              <w:rPr>
                <w:rFonts w:ascii="Arial" w:hAnsi="Arial" w:eastAsia="Arial" w:cs="Arial"/>
                <w:color w:val="333333"/>
                <w:spacing w:val="-4"/>
                <w:sz w:val="18"/>
                <w:szCs w:val="18"/>
              </w:rPr>
              <w:t>380</w:t>
            </w:r>
          </w:p>
        </w:tc>
        <w:tc>
          <w:tcPr>
            <w:tcW w:w="990" w:type="dxa"/>
            <w:vAlign w:val="top"/>
          </w:tcPr>
          <w:p w14:paraId="3F4A552B">
            <w:pPr>
              <w:spacing w:line="266" w:lineRule="auto"/>
              <w:rPr>
                <w:rFonts w:ascii="Arial"/>
                <w:sz w:val="21"/>
              </w:rPr>
            </w:pPr>
          </w:p>
          <w:p w14:paraId="5F6BB12C">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E6290FF">
            <w:pPr>
              <w:spacing w:line="266" w:lineRule="auto"/>
              <w:rPr>
                <w:rFonts w:ascii="Arial"/>
                <w:sz w:val="21"/>
              </w:rPr>
            </w:pPr>
          </w:p>
          <w:p w14:paraId="56309004">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447DEBF">
            <w:pPr>
              <w:spacing w:line="266" w:lineRule="auto"/>
              <w:rPr>
                <w:rFonts w:ascii="Arial"/>
                <w:sz w:val="21"/>
              </w:rPr>
            </w:pPr>
          </w:p>
          <w:p w14:paraId="352BE4B8">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2672B026">
            <w:pPr>
              <w:spacing w:line="266" w:lineRule="auto"/>
              <w:rPr>
                <w:rFonts w:ascii="Arial"/>
                <w:sz w:val="21"/>
              </w:rPr>
            </w:pPr>
          </w:p>
          <w:p w14:paraId="6A4FC9DA">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003A4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6695D8A9">
            <w:pPr>
              <w:rPr>
                <w:rFonts w:ascii="Arial"/>
                <w:sz w:val="21"/>
              </w:rPr>
            </w:pPr>
          </w:p>
        </w:tc>
        <w:tc>
          <w:tcPr>
            <w:tcW w:w="620" w:type="dxa"/>
            <w:vMerge w:val="continue"/>
            <w:tcBorders>
              <w:top w:val="nil"/>
            </w:tcBorders>
            <w:vAlign w:val="top"/>
          </w:tcPr>
          <w:p w14:paraId="647B006C">
            <w:pPr>
              <w:rPr>
                <w:rFonts w:ascii="Arial"/>
                <w:sz w:val="21"/>
              </w:rPr>
            </w:pPr>
          </w:p>
        </w:tc>
        <w:tc>
          <w:tcPr>
            <w:tcW w:w="2564" w:type="dxa"/>
            <w:vAlign w:val="top"/>
          </w:tcPr>
          <w:p w14:paraId="4B5965CD">
            <w:pPr>
              <w:spacing w:before="177"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2D59C007">
            <w:pPr>
              <w:spacing w:before="179"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24EE27E0">
            <w:pPr>
              <w:spacing w:before="179" w:line="196" w:lineRule="auto"/>
              <w:ind w:left="386"/>
              <w:rPr>
                <w:rFonts w:ascii="Arial" w:hAnsi="Arial" w:eastAsia="Arial" w:cs="Arial"/>
                <w:sz w:val="18"/>
                <w:szCs w:val="18"/>
              </w:rPr>
            </w:pPr>
            <w:r>
              <w:rPr>
                <w:rFonts w:ascii="Arial" w:hAnsi="Arial" w:eastAsia="Arial" w:cs="Arial"/>
                <w:color w:val="333333"/>
                <w:spacing w:val="-4"/>
                <w:sz w:val="18"/>
                <w:szCs w:val="18"/>
              </w:rPr>
              <w:t>330</w:t>
            </w:r>
          </w:p>
        </w:tc>
        <w:tc>
          <w:tcPr>
            <w:tcW w:w="990" w:type="dxa"/>
            <w:vAlign w:val="top"/>
          </w:tcPr>
          <w:p w14:paraId="6EC0AEEE">
            <w:pPr>
              <w:spacing w:before="177" w:line="219" w:lineRule="auto"/>
              <w:ind w:left="258"/>
              <w:rPr>
                <w:rFonts w:ascii="宋体" w:hAnsi="宋体" w:eastAsia="宋体" w:cs="宋体"/>
                <w:sz w:val="18"/>
                <w:szCs w:val="18"/>
              </w:rPr>
            </w:pPr>
            <w:r>
              <w:rPr>
                <w:rFonts w:ascii="宋体" w:hAnsi="宋体" w:eastAsia="宋体" w:cs="宋体"/>
                <w:color w:val="333333"/>
                <w:spacing w:val="-5"/>
                <w:sz w:val="18"/>
                <w:szCs w:val="18"/>
              </w:rPr>
              <w:t>洛阳市</w:t>
            </w:r>
          </w:p>
        </w:tc>
        <w:tc>
          <w:tcPr>
            <w:tcW w:w="991" w:type="dxa"/>
            <w:vAlign w:val="top"/>
          </w:tcPr>
          <w:p w14:paraId="2D62F83E">
            <w:pPr>
              <w:spacing w:before="177" w:line="219" w:lineRule="auto"/>
              <w:ind w:left="114"/>
              <w:rPr>
                <w:rFonts w:ascii="宋体" w:hAnsi="宋体" w:eastAsia="宋体" w:cs="宋体"/>
                <w:sz w:val="18"/>
                <w:szCs w:val="18"/>
              </w:rPr>
            </w:pPr>
            <w:r>
              <w:rPr>
                <w:rFonts w:ascii="Arial" w:hAnsi="Arial" w:eastAsia="Arial" w:cs="Arial"/>
                <w:color w:val="333333"/>
                <w:spacing w:val="-1"/>
                <w:sz w:val="18"/>
                <w:szCs w:val="18"/>
              </w:rPr>
              <w:t>4-5</w:t>
            </w:r>
            <w:r>
              <w:rPr>
                <w:rFonts w:ascii="宋体" w:hAnsi="宋体" w:eastAsia="宋体" w:cs="宋体"/>
                <w:color w:val="333333"/>
                <w:spacing w:val="-1"/>
                <w:sz w:val="18"/>
                <w:szCs w:val="18"/>
              </w:rPr>
              <w:t>月上旬</w:t>
            </w:r>
          </w:p>
        </w:tc>
        <w:tc>
          <w:tcPr>
            <w:tcW w:w="990" w:type="dxa"/>
            <w:vAlign w:val="top"/>
          </w:tcPr>
          <w:p w14:paraId="64266F4E">
            <w:pPr>
              <w:spacing w:before="179" w:line="196" w:lineRule="auto"/>
              <w:ind w:left="385"/>
              <w:rPr>
                <w:rFonts w:ascii="Arial" w:hAnsi="Arial" w:eastAsia="Arial" w:cs="Arial"/>
                <w:sz w:val="18"/>
                <w:szCs w:val="18"/>
              </w:rPr>
            </w:pPr>
            <w:r>
              <w:rPr>
                <w:rFonts w:ascii="Arial" w:hAnsi="Arial" w:eastAsia="Arial" w:cs="Arial"/>
                <w:color w:val="333333"/>
                <w:spacing w:val="-4"/>
                <w:sz w:val="18"/>
                <w:szCs w:val="18"/>
              </w:rPr>
              <w:t>720</w:t>
            </w:r>
          </w:p>
        </w:tc>
        <w:tc>
          <w:tcPr>
            <w:tcW w:w="1012" w:type="dxa"/>
            <w:vAlign w:val="top"/>
          </w:tcPr>
          <w:p w14:paraId="3906F8C5">
            <w:pPr>
              <w:spacing w:before="179" w:line="196" w:lineRule="auto"/>
              <w:ind w:left="387"/>
              <w:rPr>
                <w:rFonts w:ascii="Arial" w:hAnsi="Arial" w:eastAsia="Arial" w:cs="Arial"/>
                <w:sz w:val="18"/>
                <w:szCs w:val="18"/>
              </w:rPr>
            </w:pPr>
            <w:r>
              <w:rPr>
                <w:rFonts w:ascii="Arial" w:hAnsi="Arial" w:eastAsia="Arial" w:cs="Arial"/>
                <w:color w:val="333333"/>
                <w:spacing w:val="-4"/>
                <w:sz w:val="18"/>
                <w:szCs w:val="18"/>
              </w:rPr>
              <w:t>500</w:t>
            </w:r>
          </w:p>
        </w:tc>
      </w:tr>
      <w:tr w14:paraId="39296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restart"/>
            <w:tcBorders>
              <w:bottom w:val="nil"/>
            </w:tcBorders>
            <w:vAlign w:val="top"/>
          </w:tcPr>
          <w:p w14:paraId="1279AB4D">
            <w:pPr>
              <w:spacing w:line="360" w:lineRule="auto"/>
              <w:rPr>
                <w:rFonts w:ascii="Arial"/>
                <w:sz w:val="21"/>
              </w:rPr>
            </w:pPr>
          </w:p>
          <w:p w14:paraId="67F0155A">
            <w:pPr>
              <w:spacing w:before="51" w:line="197" w:lineRule="auto"/>
              <w:ind w:left="169"/>
              <w:rPr>
                <w:rFonts w:ascii="Arial" w:hAnsi="Arial" w:eastAsia="Arial" w:cs="Arial"/>
                <w:sz w:val="18"/>
                <w:szCs w:val="18"/>
              </w:rPr>
            </w:pPr>
            <w:r>
              <w:rPr>
                <w:rFonts w:ascii="Arial" w:hAnsi="Arial" w:eastAsia="Arial" w:cs="Arial"/>
                <w:color w:val="333333"/>
                <w:spacing w:val="-3"/>
                <w:sz w:val="18"/>
                <w:szCs w:val="18"/>
              </w:rPr>
              <w:t>21</w:t>
            </w:r>
          </w:p>
        </w:tc>
        <w:tc>
          <w:tcPr>
            <w:tcW w:w="620" w:type="dxa"/>
            <w:vMerge w:val="restart"/>
            <w:tcBorders>
              <w:bottom w:val="nil"/>
            </w:tcBorders>
            <w:vAlign w:val="top"/>
          </w:tcPr>
          <w:p w14:paraId="2BDDBF71">
            <w:pPr>
              <w:spacing w:line="350" w:lineRule="auto"/>
              <w:rPr>
                <w:rFonts w:ascii="Arial"/>
                <w:sz w:val="21"/>
              </w:rPr>
            </w:pPr>
          </w:p>
          <w:p w14:paraId="5F3599C7">
            <w:pPr>
              <w:spacing w:before="58" w:line="221" w:lineRule="auto"/>
              <w:ind w:left="140"/>
              <w:rPr>
                <w:rFonts w:ascii="宋体" w:hAnsi="宋体" w:eastAsia="宋体" w:cs="宋体"/>
                <w:sz w:val="18"/>
                <w:szCs w:val="18"/>
              </w:rPr>
            </w:pPr>
            <w:r>
              <w:rPr>
                <w:rFonts w:ascii="宋体" w:hAnsi="宋体" w:eastAsia="宋体" w:cs="宋体"/>
                <w:color w:val="333333"/>
                <w:spacing w:val="-4"/>
                <w:sz w:val="18"/>
                <w:szCs w:val="18"/>
              </w:rPr>
              <w:t>湖北</w:t>
            </w:r>
          </w:p>
        </w:tc>
        <w:tc>
          <w:tcPr>
            <w:tcW w:w="2564" w:type="dxa"/>
            <w:vAlign w:val="top"/>
          </w:tcPr>
          <w:p w14:paraId="415F98DE">
            <w:pPr>
              <w:spacing w:before="177" w:line="219" w:lineRule="auto"/>
              <w:ind w:left="1035"/>
              <w:rPr>
                <w:rFonts w:ascii="宋体" w:hAnsi="宋体" w:eastAsia="宋体" w:cs="宋体"/>
                <w:sz w:val="18"/>
                <w:szCs w:val="18"/>
              </w:rPr>
            </w:pPr>
            <w:r>
              <w:rPr>
                <w:rFonts w:ascii="宋体" w:hAnsi="宋体" w:eastAsia="宋体" w:cs="宋体"/>
                <w:color w:val="333333"/>
                <w:spacing w:val="-5"/>
                <w:sz w:val="18"/>
                <w:szCs w:val="18"/>
              </w:rPr>
              <w:t>武汉市</w:t>
            </w:r>
          </w:p>
        </w:tc>
        <w:tc>
          <w:tcPr>
            <w:tcW w:w="2564" w:type="dxa"/>
            <w:vAlign w:val="top"/>
          </w:tcPr>
          <w:p w14:paraId="3C8F5EE2">
            <w:pPr>
              <w:spacing w:before="181"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101115F2">
            <w:pPr>
              <w:spacing w:before="181"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35FCCDF4">
            <w:pPr>
              <w:spacing w:line="266" w:lineRule="auto"/>
              <w:rPr>
                <w:rFonts w:ascii="Arial"/>
                <w:sz w:val="21"/>
              </w:rPr>
            </w:pPr>
          </w:p>
          <w:p w14:paraId="6948DAA2">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4E3D9591">
            <w:pPr>
              <w:spacing w:line="266" w:lineRule="auto"/>
              <w:rPr>
                <w:rFonts w:ascii="Arial"/>
                <w:sz w:val="21"/>
              </w:rPr>
            </w:pPr>
          </w:p>
          <w:p w14:paraId="18761028">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6A415BFA">
            <w:pPr>
              <w:spacing w:line="266" w:lineRule="auto"/>
              <w:rPr>
                <w:rFonts w:ascii="Arial"/>
                <w:sz w:val="21"/>
              </w:rPr>
            </w:pPr>
          </w:p>
          <w:p w14:paraId="07A0FE70">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2AD30C1E">
            <w:pPr>
              <w:spacing w:line="266" w:lineRule="auto"/>
              <w:rPr>
                <w:rFonts w:ascii="Arial"/>
                <w:sz w:val="21"/>
              </w:rPr>
            </w:pPr>
          </w:p>
          <w:p w14:paraId="6B6EDA0F">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4EB56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78B06120">
            <w:pPr>
              <w:rPr>
                <w:rFonts w:ascii="Arial"/>
                <w:sz w:val="21"/>
              </w:rPr>
            </w:pPr>
          </w:p>
        </w:tc>
        <w:tc>
          <w:tcPr>
            <w:tcW w:w="620" w:type="dxa"/>
            <w:vMerge w:val="continue"/>
            <w:tcBorders>
              <w:top w:val="nil"/>
            </w:tcBorders>
            <w:vAlign w:val="top"/>
          </w:tcPr>
          <w:p w14:paraId="78BBCD51">
            <w:pPr>
              <w:rPr>
                <w:rFonts w:ascii="Arial"/>
                <w:sz w:val="21"/>
              </w:rPr>
            </w:pPr>
          </w:p>
        </w:tc>
        <w:tc>
          <w:tcPr>
            <w:tcW w:w="2564" w:type="dxa"/>
            <w:vAlign w:val="top"/>
          </w:tcPr>
          <w:p w14:paraId="231226E2">
            <w:pPr>
              <w:spacing w:before="177"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0AF8D1C2">
            <w:pPr>
              <w:spacing w:before="179"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5ABD6664">
            <w:pPr>
              <w:spacing w:before="179" w:line="196" w:lineRule="auto"/>
              <w:ind w:left="386"/>
              <w:rPr>
                <w:rFonts w:ascii="Arial" w:hAnsi="Arial" w:eastAsia="Arial" w:cs="Arial"/>
                <w:sz w:val="18"/>
                <w:szCs w:val="18"/>
              </w:rPr>
            </w:pPr>
            <w:r>
              <w:rPr>
                <w:rFonts w:ascii="Arial" w:hAnsi="Arial" w:eastAsia="Arial" w:cs="Arial"/>
                <w:color w:val="333333"/>
                <w:spacing w:val="-4"/>
                <w:sz w:val="18"/>
                <w:szCs w:val="18"/>
              </w:rPr>
              <w:t>320</w:t>
            </w:r>
          </w:p>
        </w:tc>
        <w:tc>
          <w:tcPr>
            <w:tcW w:w="990" w:type="dxa"/>
            <w:vAlign w:val="top"/>
          </w:tcPr>
          <w:p w14:paraId="1FACEF3B">
            <w:pPr>
              <w:spacing w:line="266" w:lineRule="auto"/>
              <w:rPr>
                <w:rFonts w:ascii="Arial"/>
                <w:sz w:val="21"/>
              </w:rPr>
            </w:pPr>
          </w:p>
          <w:p w14:paraId="06A02DC8">
            <w:pPr>
              <w:spacing w:before="52"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E23C9C6">
            <w:pPr>
              <w:spacing w:line="266" w:lineRule="auto"/>
              <w:rPr>
                <w:rFonts w:ascii="Arial"/>
                <w:sz w:val="21"/>
              </w:rPr>
            </w:pPr>
          </w:p>
          <w:p w14:paraId="09F0A785">
            <w:pPr>
              <w:spacing w:before="52"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597B286E">
            <w:pPr>
              <w:spacing w:line="266" w:lineRule="auto"/>
              <w:rPr>
                <w:rFonts w:ascii="Arial"/>
                <w:sz w:val="21"/>
              </w:rPr>
            </w:pPr>
          </w:p>
          <w:p w14:paraId="39184141">
            <w:pPr>
              <w:spacing w:before="52"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1D6BA754">
            <w:pPr>
              <w:spacing w:line="266" w:lineRule="auto"/>
              <w:rPr>
                <w:rFonts w:ascii="Arial"/>
                <w:sz w:val="21"/>
              </w:rPr>
            </w:pPr>
          </w:p>
          <w:p w14:paraId="48ACAB82">
            <w:pPr>
              <w:spacing w:before="52"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14BF2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restart"/>
            <w:tcBorders>
              <w:bottom w:val="nil"/>
            </w:tcBorders>
            <w:vAlign w:val="top"/>
          </w:tcPr>
          <w:p w14:paraId="0D2026C0">
            <w:pPr>
              <w:spacing w:line="360" w:lineRule="auto"/>
              <w:rPr>
                <w:rFonts w:ascii="Arial"/>
                <w:sz w:val="21"/>
              </w:rPr>
            </w:pPr>
          </w:p>
          <w:p w14:paraId="347AD712">
            <w:pPr>
              <w:spacing w:before="52" w:line="197" w:lineRule="auto"/>
              <w:ind w:left="169"/>
              <w:rPr>
                <w:rFonts w:ascii="Arial" w:hAnsi="Arial" w:eastAsia="Arial" w:cs="Arial"/>
                <w:sz w:val="18"/>
                <w:szCs w:val="18"/>
              </w:rPr>
            </w:pPr>
            <w:r>
              <w:rPr>
                <w:rFonts w:ascii="Arial" w:hAnsi="Arial" w:eastAsia="Arial" w:cs="Arial"/>
                <w:color w:val="333333"/>
                <w:spacing w:val="-3"/>
                <w:sz w:val="18"/>
                <w:szCs w:val="18"/>
              </w:rPr>
              <w:t>22</w:t>
            </w:r>
          </w:p>
        </w:tc>
        <w:tc>
          <w:tcPr>
            <w:tcW w:w="620" w:type="dxa"/>
            <w:vMerge w:val="restart"/>
            <w:tcBorders>
              <w:bottom w:val="nil"/>
            </w:tcBorders>
            <w:vAlign w:val="top"/>
          </w:tcPr>
          <w:p w14:paraId="20F20BF7">
            <w:pPr>
              <w:spacing w:line="350" w:lineRule="auto"/>
              <w:rPr>
                <w:rFonts w:ascii="Arial"/>
                <w:sz w:val="21"/>
              </w:rPr>
            </w:pPr>
          </w:p>
          <w:p w14:paraId="010493AE">
            <w:pPr>
              <w:spacing w:before="59" w:line="221" w:lineRule="auto"/>
              <w:ind w:left="140"/>
              <w:rPr>
                <w:rFonts w:ascii="宋体" w:hAnsi="宋体" w:eastAsia="宋体" w:cs="宋体"/>
                <w:sz w:val="18"/>
                <w:szCs w:val="18"/>
              </w:rPr>
            </w:pPr>
            <w:r>
              <w:rPr>
                <w:rFonts w:ascii="宋体" w:hAnsi="宋体" w:eastAsia="宋体" w:cs="宋体"/>
                <w:color w:val="333333"/>
                <w:spacing w:val="-4"/>
                <w:sz w:val="18"/>
                <w:szCs w:val="18"/>
              </w:rPr>
              <w:t>湖南</w:t>
            </w:r>
          </w:p>
        </w:tc>
        <w:tc>
          <w:tcPr>
            <w:tcW w:w="2564" w:type="dxa"/>
            <w:vAlign w:val="top"/>
          </w:tcPr>
          <w:p w14:paraId="44E08F2E">
            <w:pPr>
              <w:spacing w:before="175" w:line="219" w:lineRule="auto"/>
              <w:ind w:left="1031"/>
              <w:rPr>
                <w:rFonts w:ascii="宋体" w:hAnsi="宋体" w:eastAsia="宋体" w:cs="宋体"/>
                <w:sz w:val="18"/>
                <w:szCs w:val="18"/>
              </w:rPr>
            </w:pPr>
            <w:r>
              <w:rPr>
                <w:rFonts w:ascii="宋体" w:hAnsi="宋体" w:eastAsia="宋体" w:cs="宋体"/>
                <w:color w:val="333333"/>
                <w:spacing w:val="-5"/>
                <w:sz w:val="18"/>
                <w:szCs w:val="18"/>
              </w:rPr>
              <w:t>长沙市</w:t>
            </w:r>
          </w:p>
        </w:tc>
        <w:tc>
          <w:tcPr>
            <w:tcW w:w="2564" w:type="dxa"/>
            <w:vAlign w:val="top"/>
          </w:tcPr>
          <w:p w14:paraId="29DEFB15">
            <w:pPr>
              <w:spacing w:before="179"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Align w:val="top"/>
          </w:tcPr>
          <w:p w14:paraId="235838D6">
            <w:pPr>
              <w:spacing w:before="179"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19AFB50B">
            <w:pPr>
              <w:spacing w:line="267" w:lineRule="auto"/>
              <w:rPr>
                <w:rFonts w:ascii="Arial"/>
                <w:sz w:val="21"/>
              </w:rPr>
            </w:pPr>
          </w:p>
          <w:p w14:paraId="7D6F63AB">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872DE8D">
            <w:pPr>
              <w:spacing w:line="267" w:lineRule="auto"/>
              <w:rPr>
                <w:rFonts w:ascii="Arial"/>
                <w:sz w:val="21"/>
              </w:rPr>
            </w:pPr>
          </w:p>
          <w:p w14:paraId="3C0ACC36">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1426B59B">
            <w:pPr>
              <w:spacing w:line="267" w:lineRule="auto"/>
              <w:rPr>
                <w:rFonts w:ascii="Arial"/>
                <w:sz w:val="21"/>
              </w:rPr>
            </w:pPr>
          </w:p>
          <w:p w14:paraId="1B6AD674">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545CEC63">
            <w:pPr>
              <w:spacing w:line="267" w:lineRule="auto"/>
              <w:rPr>
                <w:rFonts w:ascii="Arial"/>
                <w:sz w:val="21"/>
              </w:rPr>
            </w:pPr>
          </w:p>
          <w:p w14:paraId="4CB2A611">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55F3D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6CA80D26">
            <w:pPr>
              <w:rPr>
                <w:rFonts w:ascii="Arial"/>
                <w:sz w:val="21"/>
              </w:rPr>
            </w:pPr>
          </w:p>
        </w:tc>
        <w:tc>
          <w:tcPr>
            <w:tcW w:w="620" w:type="dxa"/>
            <w:vMerge w:val="continue"/>
            <w:tcBorders>
              <w:top w:val="nil"/>
            </w:tcBorders>
            <w:vAlign w:val="top"/>
          </w:tcPr>
          <w:p w14:paraId="0728E8EA">
            <w:pPr>
              <w:rPr>
                <w:rFonts w:ascii="Arial"/>
                <w:sz w:val="21"/>
              </w:rPr>
            </w:pPr>
          </w:p>
        </w:tc>
        <w:tc>
          <w:tcPr>
            <w:tcW w:w="2564" w:type="dxa"/>
            <w:vAlign w:val="top"/>
          </w:tcPr>
          <w:p w14:paraId="33265C09">
            <w:pPr>
              <w:spacing w:before="179"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79731959">
            <w:pPr>
              <w:spacing w:before="178"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Align w:val="top"/>
          </w:tcPr>
          <w:p w14:paraId="0B6D5974">
            <w:pPr>
              <w:spacing w:before="178" w:line="196" w:lineRule="auto"/>
              <w:ind w:left="386"/>
              <w:rPr>
                <w:rFonts w:ascii="Arial" w:hAnsi="Arial" w:eastAsia="Arial" w:cs="Arial"/>
                <w:sz w:val="18"/>
                <w:szCs w:val="18"/>
              </w:rPr>
            </w:pPr>
            <w:r>
              <w:rPr>
                <w:rFonts w:ascii="Arial" w:hAnsi="Arial" w:eastAsia="Arial" w:cs="Arial"/>
                <w:color w:val="333333"/>
                <w:spacing w:val="-4"/>
                <w:sz w:val="18"/>
                <w:szCs w:val="18"/>
              </w:rPr>
              <w:t>330</w:t>
            </w:r>
          </w:p>
        </w:tc>
        <w:tc>
          <w:tcPr>
            <w:tcW w:w="990" w:type="dxa"/>
            <w:vAlign w:val="top"/>
          </w:tcPr>
          <w:p w14:paraId="1C42566E">
            <w:pPr>
              <w:spacing w:line="268" w:lineRule="auto"/>
              <w:rPr>
                <w:rFonts w:ascii="Arial"/>
                <w:sz w:val="21"/>
              </w:rPr>
            </w:pPr>
          </w:p>
          <w:p w14:paraId="2CAF3943">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58EC74C">
            <w:pPr>
              <w:spacing w:line="268" w:lineRule="auto"/>
              <w:rPr>
                <w:rFonts w:ascii="Arial"/>
                <w:sz w:val="21"/>
              </w:rPr>
            </w:pPr>
          </w:p>
          <w:p w14:paraId="33F95EA1">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38DC16C6">
            <w:pPr>
              <w:spacing w:line="268" w:lineRule="auto"/>
              <w:rPr>
                <w:rFonts w:ascii="Arial"/>
                <w:sz w:val="21"/>
              </w:rPr>
            </w:pPr>
          </w:p>
          <w:p w14:paraId="5D9FAB85">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077110B5">
            <w:pPr>
              <w:spacing w:line="268" w:lineRule="auto"/>
              <w:rPr>
                <w:rFonts w:ascii="Arial"/>
                <w:sz w:val="21"/>
              </w:rPr>
            </w:pPr>
          </w:p>
          <w:p w14:paraId="3F30DB49">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06958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13" w:type="dxa"/>
            <w:vMerge w:val="restart"/>
            <w:tcBorders>
              <w:bottom w:val="nil"/>
            </w:tcBorders>
            <w:vAlign w:val="top"/>
          </w:tcPr>
          <w:p w14:paraId="3EB91B1B">
            <w:pPr>
              <w:spacing w:line="301" w:lineRule="auto"/>
              <w:rPr>
                <w:rFonts w:ascii="Arial"/>
                <w:sz w:val="21"/>
              </w:rPr>
            </w:pPr>
          </w:p>
          <w:p w14:paraId="44E8B7EA">
            <w:pPr>
              <w:spacing w:line="302" w:lineRule="auto"/>
              <w:rPr>
                <w:rFonts w:ascii="Arial"/>
                <w:sz w:val="21"/>
              </w:rPr>
            </w:pPr>
          </w:p>
          <w:p w14:paraId="479F8F3B">
            <w:pPr>
              <w:spacing w:before="52" w:line="196" w:lineRule="auto"/>
              <w:ind w:left="169"/>
              <w:rPr>
                <w:rFonts w:ascii="Arial" w:hAnsi="Arial" w:eastAsia="Arial" w:cs="Arial"/>
                <w:sz w:val="18"/>
                <w:szCs w:val="18"/>
              </w:rPr>
            </w:pPr>
            <w:r>
              <w:rPr>
                <w:rFonts w:ascii="Arial" w:hAnsi="Arial" w:eastAsia="Arial" w:cs="Arial"/>
                <w:color w:val="333333"/>
                <w:spacing w:val="-3"/>
                <w:sz w:val="18"/>
                <w:szCs w:val="18"/>
              </w:rPr>
              <w:t>23</w:t>
            </w:r>
          </w:p>
        </w:tc>
        <w:tc>
          <w:tcPr>
            <w:tcW w:w="620" w:type="dxa"/>
            <w:vMerge w:val="restart"/>
            <w:tcBorders>
              <w:bottom w:val="nil"/>
            </w:tcBorders>
            <w:vAlign w:val="top"/>
          </w:tcPr>
          <w:p w14:paraId="4C4FC8EE">
            <w:pPr>
              <w:spacing w:line="295" w:lineRule="auto"/>
              <w:rPr>
                <w:rFonts w:ascii="Arial"/>
                <w:sz w:val="21"/>
              </w:rPr>
            </w:pPr>
          </w:p>
          <w:p w14:paraId="4A1E7A39">
            <w:pPr>
              <w:spacing w:line="295" w:lineRule="auto"/>
              <w:rPr>
                <w:rFonts w:ascii="Arial"/>
                <w:sz w:val="21"/>
              </w:rPr>
            </w:pPr>
          </w:p>
          <w:p w14:paraId="6EABE425">
            <w:pPr>
              <w:spacing w:before="58" w:line="219" w:lineRule="auto"/>
              <w:ind w:left="141"/>
              <w:rPr>
                <w:rFonts w:ascii="宋体" w:hAnsi="宋体" w:eastAsia="宋体" w:cs="宋体"/>
                <w:sz w:val="18"/>
                <w:szCs w:val="18"/>
              </w:rPr>
            </w:pPr>
            <w:r>
              <w:rPr>
                <w:rFonts w:ascii="宋体" w:hAnsi="宋体" w:eastAsia="宋体" w:cs="宋体"/>
                <w:color w:val="333333"/>
                <w:spacing w:val="-4"/>
                <w:sz w:val="18"/>
                <w:szCs w:val="18"/>
              </w:rPr>
              <w:t>广东</w:t>
            </w:r>
          </w:p>
        </w:tc>
        <w:tc>
          <w:tcPr>
            <w:tcW w:w="2564" w:type="dxa"/>
            <w:vAlign w:val="top"/>
          </w:tcPr>
          <w:p w14:paraId="610231F2">
            <w:pPr>
              <w:spacing w:line="256" w:lineRule="auto"/>
              <w:rPr>
                <w:rFonts w:ascii="Arial"/>
                <w:sz w:val="21"/>
              </w:rPr>
            </w:pPr>
          </w:p>
          <w:p w14:paraId="7F88F715">
            <w:pPr>
              <w:spacing w:before="59" w:line="219" w:lineRule="auto"/>
              <w:ind w:left="411" w:right="121" w:hanging="283"/>
              <w:rPr>
                <w:rFonts w:ascii="宋体" w:hAnsi="宋体" w:eastAsia="宋体" w:cs="宋体"/>
                <w:sz w:val="18"/>
                <w:szCs w:val="18"/>
              </w:rPr>
            </w:pPr>
            <w:r>
              <w:rPr>
                <w:rFonts w:ascii="宋体" w:hAnsi="宋体" w:eastAsia="宋体" w:cs="宋体"/>
                <w:color w:val="333333"/>
                <w:spacing w:val="-3"/>
                <w:sz w:val="18"/>
                <w:szCs w:val="18"/>
              </w:rPr>
              <w:t>广州市、珠海市、佛山市、东</w:t>
            </w:r>
            <w:r>
              <w:rPr>
                <w:rFonts w:ascii="宋体" w:hAnsi="宋体" w:eastAsia="宋体" w:cs="宋体"/>
                <w:color w:val="333333"/>
                <w:spacing w:val="6"/>
                <w:sz w:val="18"/>
                <w:szCs w:val="18"/>
              </w:rPr>
              <w:t xml:space="preserve"> </w:t>
            </w:r>
            <w:r>
              <w:rPr>
                <w:rFonts w:ascii="宋体" w:hAnsi="宋体" w:eastAsia="宋体" w:cs="宋体"/>
                <w:color w:val="333333"/>
                <w:spacing w:val="-4"/>
                <w:sz w:val="18"/>
                <w:szCs w:val="18"/>
              </w:rPr>
              <w:t>莞市、中山市、江门市</w:t>
            </w:r>
          </w:p>
        </w:tc>
        <w:tc>
          <w:tcPr>
            <w:tcW w:w="2564" w:type="dxa"/>
            <w:vAlign w:val="top"/>
          </w:tcPr>
          <w:p w14:paraId="029165DC">
            <w:pPr>
              <w:spacing w:line="369" w:lineRule="auto"/>
              <w:rPr>
                <w:rFonts w:ascii="Arial"/>
                <w:sz w:val="21"/>
              </w:rPr>
            </w:pPr>
          </w:p>
          <w:p w14:paraId="19D6591D">
            <w:pPr>
              <w:spacing w:before="52" w:line="196" w:lineRule="auto"/>
              <w:ind w:left="1155"/>
              <w:rPr>
                <w:rFonts w:ascii="Arial" w:hAnsi="Arial" w:eastAsia="Arial" w:cs="Arial"/>
                <w:sz w:val="18"/>
                <w:szCs w:val="18"/>
              </w:rPr>
            </w:pPr>
            <w:r>
              <w:rPr>
                <w:rFonts w:ascii="Arial" w:hAnsi="Arial" w:eastAsia="Arial" w:cs="Arial"/>
                <w:color w:val="333333"/>
                <w:spacing w:val="-4"/>
                <w:sz w:val="18"/>
                <w:szCs w:val="18"/>
              </w:rPr>
              <w:t>550</w:t>
            </w:r>
          </w:p>
        </w:tc>
        <w:tc>
          <w:tcPr>
            <w:tcW w:w="1021" w:type="dxa"/>
            <w:vAlign w:val="top"/>
          </w:tcPr>
          <w:p w14:paraId="4676C494">
            <w:pPr>
              <w:spacing w:line="369" w:lineRule="auto"/>
              <w:rPr>
                <w:rFonts w:ascii="Arial"/>
                <w:sz w:val="21"/>
              </w:rPr>
            </w:pPr>
          </w:p>
          <w:p w14:paraId="48B34560">
            <w:pPr>
              <w:spacing w:before="52" w:line="196" w:lineRule="auto"/>
              <w:ind w:left="371"/>
              <w:rPr>
                <w:rFonts w:ascii="Arial" w:hAnsi="Arial" w:eastAsia="Arial" w:cs="Arial"/>
                <w:sz w:val="18"/>
                <w:szCs w:val="18"/>
              </w:rPr>
            </w:pPr>
            <w:r>
              <w:rPr>
                <w:rFonts w:ascii="Arial" w:hAnsi="Arial" w:eastAsia="Arial" w:cs="Arial"/>
                <w:color w:val="333333"/>
                <w:spacing w:val="-1"/>
                <w:sz w:val="18"/>
                <w:szCs w:val="18"/>
              </w:rPr>
              <w:t>450</w:t>
            </w:r>
          </w:p>
        </w:tc>
        <w:tc>
          <w:tcPr>
            <w:tcW w:w="990" w:type="dxa"/>
            <w:vAlign w:val="top"/>
          </w:tcPr>
          <w:p w14:paraId="534535B0">
            <w:pPr>
              <w:spacing w:line="254" w:lineRule="auto"/>
              <w:rPr>
                <w:rFonts w:ascii="Arial"/>
                <w:sz w:val="21"/>
              </w:rPr>
            </w:pPr>
          </w:p>
          <w:p w14:paraId="6EB45887">
            <w:pPr>
              <w:spacing w:line="255" w:lineRule="auto"/>
              <w:rPr>
                <w:rFonts w:ascii="Arial"/>
                <w:sz w:val="21"/>
              </w:rPr>
            </w:pPr>
          </w:p>
          <w:p w14:paraId="135B179F">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915DBC6">
            <w:pPr>
              <w:spacing w:line="254" w:lineRule="auto"/>
              <w:rPr>
                <w:rFonts w:ascii="Arial"/>
                <w:sz w:val="21"/>
              </w:rPr>
            </w:pPr>
          </w:p>
          <w:p w14:paraId="5695540F">
            <w:pPr>
              <w:spacing w:line="255" w:lineRule="auto"/>
              <w:rPr>
                <w:rFonts w:ascii="Arial"/>
                <w:sz w:val="21"/>
              </w:rPr>
            </w:pPr>
          </w:p>
          <w:p w14:paraId="7EE25D43">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22EC57D3">
            <w:pPr>
              <w:spacing w:line="254" w:lineRule="auto"/>
              <w:rPr>
                <w:rFonts w:ascii="Arial"/>
                <w:sz w:val="21"/>
              </w:rPr>
            </w:pPr>
          </w:p>
          <w:p w14:paraId="4CCA4AA1">
            <w:pPr>
              <w:spacing w:line="255" w:lineRule="auto"/>
              <w:rPr>
                <w:rFonts w:ascii="Arial"/>
                <w:sz w:val="21"/>
              </w:rPr>
            </w:pPr>
          </w:p>
          <w:p w14:paraId="703C9F20">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78F81CA7">
            <w:pPr>
              <w:spacing w:line="254" w:lineRule="auto"/>
              <w:rPr>
                <w:rFonts w:ascii="Arial"/>
                <w:sz w:val="21"/>
              </w:rPr>
            </w:pPr>
          </w:p>
          <w:p w14:paraId="3E642393">
            <w:pPr>
              <w:spacing w:line="255" w:lineRule="auto"/>
              <w:rPr>
                <w:rFonts w:ascii="Arial"/>
                <w:sz w:val="21"/>
              </w:rPr>
            </w:pPr>
          </w:p>
          <w:p w14:paraId="3732690D">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71EEC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0F408838">
            <w:pPr>
              <w:rPr>
                <w:rFonts w:ascii="Arial"/>
                <w:sz w:val="21"/>
              </w:rPr>
            </w:pPr>
          </w:p>
        </w:tc>
        <w:tc>
          <w:tcPr>
            <w:tcW w:w="620" w:type="dxa"/>
            <w:vMerge w:val="continue"/>
            <w:tcBorders>
              <w:top w:val="nil"/>
            </w:tcBorders>
            <w:vAlign w:val="top"/>
          </w:tcPr>
          <w:p w14:paraId="31F91C0C">
            <w:pPr>
              <w:rPr>
                <w:rFonts w:ascii="Arial"/>
                <w:sz w:val="21"/>
              </w:rPr>
            </w:pPr>
          </w:p>
        </w:tc>
        <w:tc>
          <w:tcPr>
            <w:tcW w:w="2564" w:type="dxa"/>
            <w:vAlign w:val="top"/>
          </w:tcPr>
          <w:p w14:paraId="00DB4AFD">
            <w:pPr>
              <w:spacing w:before="182"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721C9966">
            <w:pPr>
              <w:spacing w:before="184" w:line="196" w:lineRule="auto"/>
              <w:ind w:left="1155"/>
              <w:rPr>
                <w:rFonts w:ascii="Arial" w:hAnsi="Arial" w:eastAsia="Arial" w:cs="Arial"/>
                <w:sz w:val="18"/>
                <w:szCs w:val="18"/>
              </w:rPr>
            </w:pPr>
            <w:r>
              <w:rPr>
                <w:rFonts w:ascii="Arial" w:hAnsi="Arial" w:eastAsia="Arial" w:cs="Arial"/>
                <w:color w:val="333333"/>
                <w:spacing w:val="-4"/>
                <w:sz w:val="18"/>
                <w:szCs w:val="18"/>
              </w:rPr>
              <w:t>530</w:t>
            </w:r>
          </w:p>
        </w:tc>
        <w:tc>
          <w:tcPr>
            <w:tcW w:w="1021" w:type="dxa"/>
            <w:vAlign w:val="top"/>
          </w:tcPr>
          <w:p w14:paraId="04171F8E">
            <w:pPr>
              <w:spacing w:before="184" w:line="196" w:lineRule="auto"/>
              <w:ind w:left="371"/>
              <w:rPr>
                <w:rFonts w:ascii="Arial" w:hAnsi="Arial" w:eastAsia="Arial" w:cs="Arial"/>
                <w:sz w:val="18"/>
                <w:szCs w:val="18"/>
              </w:rPr>
            </w:pPr>
            <w:r>
              <w:rPr>
                <w:rFonts w:ascii="Arial" w:hAnsi="Arial" w:eastAsia="Arial" w:cs="Arial"/>
                <w:color w:val="333333"/>
                <w:spacing w:val="-1"/>
                <w:sz w:val="18"/>
                <w:szCs w:val="18"/>
              </w:rPr>
              <w:t>420</w:t>
            </w:r>
          </w:p>
        </w:tc>
        <w:tc>
          <w:tcPr>
            <w:tcW w:w="990" w:type="dxa"/>
            <w:vAlign w:val="top"/>
          </w:tcPr>
          <w:p w14:paraId="4025662F">
            <w:pPr>
              <w:spacing w:line="271" w:lineRule="auto"/>
              <w:rPr>
                <w:rFonts w:ascii="Arial"/>
                <w:sz w:val="21"/>
              </w:rPr>
            </w:pPr>
          </w:p>
          <w:p w14:paraId="70F45A27">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2CC1FDC4">
            <w:pPr>
              <w:spacing w:line="271" w:lineRule="auto"/>
              <w:rPr>
                <w:rFonts w:ascii="Arial"/>
                <w:sz w:val="21"/>
              </w:rPr>
            </w:pPr>
          </w:p>
          <w:p w14:paraId="048334FD">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6E5173D1">
            <w:pPr>
              <w:spacing w:line="271" w:lineRule="auto"/>
              <w:rPr>
                <w:rFonts w:ascii="Arial"/>
                <w:sz w:val="21"/>
              </w:rPr>
            </w:pPr>
          </w:p>
          <w:p w14:paraId="6FB405EB">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296A17BF">
            <w:pPr>
              <w:spacing w:line="271" w:lineRule="auto"/>
              <w:rPr>
                <w:rFonts w:ascii="Arial"/>
                <w:sz w:val="21"/>
              </w:rPr>
            </w:pPr>
          </w:p>
          <w:p w14:paraId="12F498C5">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DE35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Align w:val="top"/>
          </w:tcPr>
          <w:p w14:paraId="416E60D6">
            <w:pPr>
              <w:spacing w:before="186" w:line="197" w:lineRule="auto"/>
              <w:ind w:left="169"/>
              <w:rPr>
                <w:rFonts w:ascii="Arial" w:hAnsi="Arial" w:eastAsia="Arial" w:cs="Arial"/>
                <w:sz w:val="18"/>
                <w:szCs w:val="18"/>
              </w:rPr>
            </w:pPr>
            <w:r>
              <w:rPr>
                <w:rFonts w:ascii="Arial" w:hAnsi="Arial" w:eastAsia="Arial" w:cs="Arial"/>
                <w:color w:val="333333"/>
                <w:spacing w:val="-3"/>
                <w:sz w:val="18"/>
                <w:szCs w:val="18"/>
              </w:rPr>
              <w:t>24</w:t>
            </w:r>
          </w:p>
        </w:tc>
        <w:tc>
          <w:tcPr>
            <w:tcW w:w="620" w:type="dxa"/>
            <w:vAlign w:val="top"/>
          </w:tcPr>
          <w:p w14:paraId="00A0CCC1">
            <w:pPr>
              <w:spacing w:before="187" w:line="221" w:lineRule="auto"/>
              <w:ind w:left="141"/>
              <w:rPr>
                <w:rFonts w:ascii="宋体" w:hAnsi="宋体" w:eastAsia="宋体" w:cs="宋体"/>
                <w:sz w:val="18"/>
                <w:szCs w:val="18"/>
              </w:rPr>
            </w:pPr>
            <w:r>
              <w:rPr>
                <w:rFonts w:ascii="宋体" w:hAnsi="宋体" w:eastAsia="宋体" w:cs="宋体"/>
                <w:color w:val="333333"/>
                <w:spacing w:val="-4"/>
                <w:sz w:val="18"/>
                <w:szCs w:val="18"/>
              </w:rPr>
              <w:t>深圳</w:t>
            </w:r>
          </w:p>
        </w:tc>
        <w:tc>
          <w:tcPr>
            <w:tcW w:w="2564" w:type="dxa"/>
            <w:vAlign w:val="top"/>
          </w:tcPr>
          <w:p w14:paraId="3161D1EC">
            <w:pPr>
              <w:spacing w:before="182" w:line="219" w:lineRule="auto"/>
              <w:ind w:left="1117"/>
              <w:rPr>
                <w:rFonts w:ascii="宋体" w:hAnsi="宋体" w:eastAsia="宋体" w:cs="宋体"/>
                <w:sz w:val="18"/>
                <w:szCs w:val="18"/>
              </w:rPr>
            </w:pPr>
            <w:r>
              <w:rPr>
                <w:rFonts w:ascii="宋体" w:hAnsi="宋体" w:eastAsia="宋体" w:cs="宋体"/>
                <w:color w:val="333333"/>
                <w:spacing w:val="-4"/>
                <w:sz w:val="18"/>
                <w:szCs w:val="18"/>
              </w:rPr>
              <w:t>全市</w:t>
            </w:r>
          </w:p>
        </w:tc>
        <w:tc>
          <w:tcPr>
            <w:tcW w:w="2564" w:type="dxa"/>
            <w:vAlign w:val="top"/>
          </w:tcPr>
          <w:p w14:paraId="5CA2CB55">
            <w:pPr>
              <w:spacing w:before="186" w:line="196" w:lineRule="auto"/>
              <w:ind w:left="1155"/>
              <w:rPr>
                <w:rFonts w:ascii="Arial" w:hAnsi="Arial" w:eastAsia="Arial" w:cs="Arial"/>
                <w:sz w:val="18"/>
                <w:szCs w:val="18"/>
              </w:rPr>
            </w:pPr>
            <w:r>
              <w:rPr>
                <w:rFonts w:ascii="Arial" w:hAnsi="Arial" w:eastAsia="Arial" w:cs="Arial"/>
                <w:color w:val="333333"/>
                <w:spacing w:val="-4"/>
                <w:sz w:val="18"/>
                <w:szCs w:val="18"/>
              </w:rPr>
              <w:t>550</w:t>
            </w:r>
          </w:p>
        </w:tc>
        <w:tc>
          <w:tcPr>
            <w:tcW w:w="1021" w:type="dxa"/>
            <w:vAlign w:val="top"/>
          </w:tcPr>
          <w:p w14:paraId="0C44509B">
            <w:pPr>
              <w:spacing w:before="186" w:line="196" w:lineRule="auto"/>
              <w:ind w:left="371"/>
              <w:rPr>
                <w:rFonts w:ascii="Arial" w:hAnsi="Arial" w:eastAsia="Arial" w:cs="Arial"/>
                <w:sz w:val="18"/>
                <w:szCs w:val="18"/>
              </w:rPr>
            </w:pPr>
            <w:r>
              <w:rPr>
                <w:rFonts w:ascii="Arial" w:hAnsi="Arial" w:eastAsia="Arial" w:cs="Arial"/>
                <w:color w:val="333333"/>
                <w:spacing w:val="-1"/>
                <w:sz w:val="18"/>
                <w:szCs w:val="18"/>
              </w:rPr>
              <w:t>450</w:t>
            </w:r>
          </w:p>
        </w:tc>
        <w:tc>
          <w:tcPr>
            <w:tcW w:w="990" w:type="dxa"/>
            <w:vAlign w:val="top"/>
          </w:tcPr>
          <w:p w14:paraId="4F567DC9">
            <w:pPr>
              <w:spacing w:line="271" w:lineRule="auto"/>
              <w:rPr>
                <w:rFonts w:ascii="Arial"/>
                <w:sz w:val="21"/>
              </w:rPr>
            </w:pPr>
          </w:p>
          <w:p w14:paraId="0802FF77">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5DD3D931">
            <w:pPr>
              <w:spacing w:line="271" w:lineRule="auto"/>
              <w:rPr>
                <w:rFonts w:ascii="Arial"/>
                <w:sz w:val="21"/>
              </w:rPr>
            </w:pPr>
          </w:p>
          <w:p w14:paraId="2110DF2E">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00916F97">
            <w:pPr>
              <w:spacing w:line="271" w:lineRule="auto"/>
              <w:rPr>
                <w:rFonts w:ascii="Arial"/>
                <w:sz w:val="21"/>
              </w:rPr>
            </w:pPr>
          </w:p>
          <w:p w14:paraId="33A36583">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75C9F7DF">
            <w:pPr>
              <w:spacing w:line="271" w:lineRule="auto"/>
              <w:rPr>
                <w:rFonts w:ascii="Arial"/>
                <w:sz w:val="21"/>
              </w:rPr>
            </w:pPr>
          </w:p>
          <w:p w14:paraId="4F88A6F3">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5EABA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513" w:type="dxa"/>
            <w:vMerge w:val="restart"/>
            <w:tcBorders>
              <w:bottom w:val="nil"/>
            </w:tcBorders>
            <w:vAlign w:val="top"/>
          </w:tcPr>
          <w:p w14:paraId="604C03E8">
            <w:pPr>
              <w:spacing w:line="356" w:lineRule="auto"/>
              <w:rPr>
                <w:rFonts w:ascii="Arial"/>
                <w:sz w:val="21"/>
              </w:rPr>
            </w:pPr>
          </w:p>
          <w:p w14:paraId="085998F3">
            <w:pPr>
              <w:spacing w:line="356" w:lineRule="auto"/>
              <w:rPr>
                <w:rFonts w:ascii="Arial"/>
                <w:sz w:val="21"/>
              </w:rPr>
            </w:pPr>
          </w:p>
          <w:p w14:paraId="09026AFF">
            <w:pPr>
              <w:spacing w:before="52" w:line="196" w:lineRule="auto"/>
              <w:ind w:left="169"/>
              <w:rPr>
                <w:rFonts w:ascii="Arial" w:hAnsi="Arial" w:eastAsia="Arial" w:cs="Arial"/>
                <w:sz w:val="18"/>
                <w:szCs w:val="18"/>
              </w:rPr>
            </w:pPr>
            <w:r>
              <w:rPr>
                <w:rFonts w:ascii="Arial" w:hAnsi="Arial" w:eastAsia="Arial" w:cs="Arial"/>
                <w:color w:val="333333"/>
                <w:spacing w:val="-3"/>
                <w:sz w:val="18"/>
                <w:szCs w:val="18"/>
              </w:rPr>
              <w:t>25</w:t>
            </w:r>
          </w:p>
        </w:tc>
        <w:tc>
          <w:tcPr>
            <w:tcW w:w="620" w:type="dxa"/>
            <w:vMerge w:val="restart"/>
            <w:tcBorders>
              <w:bottom w:val="nil"/>
            </w:tcBorders>
            <w:vAlign w:val="top"/>
          </w:tcPr>
          <w:p w14:paraId="16C144B9">
            <w:pPr>
              <w:spacing w:line="350" w:lineRule="auto"/>
              <w:rPr>
                <w:rFonts w:ascii="Arial"/>
                <w:sz w:val="21"/>
              </w:rPr>
            </w:pPr>
          </w:p>
          <w:p w14:paraId="3CDBDCB7">
            <w:pPr>
              <w:spacing w:line="351" w:lineRule="auto"/>
              <w:rPr>
                <w:rFonts w:ascii="Arial"/>
                <w:sz w:val="21"/>
              </w:rPr>
            </w:pPr>
          </w:p>
          <w:p w14:paraId="6670FD30">
            <w:pPr>
              <w:spacing w:before="59" w:line="221" w:lineRule="auto"/>
              <w:ind w:left="141"/>
              <w:rPr>
                <w:rFonts w:ascii="宋体" w:hAnsi="宋体" w:eastAsia="宋体" w:cs="宋体"/>
                <w:sz w:val="18"/>
                <w:szCs w:val="18"/>
              </w:rPr>
            </w:pPr>
            <w:r>
              <w:rPr>
                <w:rFonts w:ascii="宋体" w:hAnsi="宋体" w:eastAsia="宋体" w:cs="宋体"/>
                <w:color w:val="333333"/>
                <w:spacing w:val="-4"/>
                <w:sz w:val="18"/>
                <w:szCs w:val="18"/>
              </w:rPr>
              <w:t>广西</w:t>
            </w:r>
          </w:p>
        </w:tc>
        <w:tc>
          <w:tcPr>
            <w:tcW w:w="2564" w:type="dxa"/>
            <w:vAlign w:val="top"/>
          </w:tcPr>
          <w:p w14:paraId="317620F5">
            <w:pPr>
              <w:spacing w:before="299" w:line="219" w:lineRule="auto"/>
              <w:ind w:left="1035"/>
              <w:rPr>
                <w:rFonts w:ascii="宋体" w:hAnsi="宋体" w:eastAsia="宋体" w:cs="宋体"/>
                <w:sz w:val="18"/>
                <w:szCs w:val="18"/>
              </w:rPr>
            </w:pPr>
            <w:r>
              <w:rPr>
                <w:rFonts w:ascii="宋体" w:hAnsi="宋体" w:eastAsia="宋体" w:cs="宋体"/>
                <w:color w:val="333333"/>
                <w:spacing w:val="-5"/>
                <w:sz w:val="18"/>
                <w:szCs w:val="18"/>
              </w:rPr>
              <w:t>南宁市</w:t>
            </w:r>
          </w:p>
        </w:tc>
        <w:tc>
          <w:tcPr>
            <w:tcW w:w="2564" w:type="dxa"/>
            <w:vAlign w:val="top"/>
          </w:tcPr>
          <w:p w14:paraId="2D01D458">
            <w:pPr>
              <w:spacing w:line="247" w:lineRule="auto"/>
              <w:rPr>
                <w:rFonts w:ascii="Arial"/>
                <w:sz w:val="21"/>
              </w:rPr>
            </w:pPr>
          </w:p>
          <w:p w14:paraId="6AE7FCD1">
            <w:pPr>
              <w:spacing w:before="52" w:line="196" w:lineRule="auto"/>
              <w:ind w:left="1137"/>
              <w:rPr>
                <w:rFonts w:ascii="Arial" w:hAnsi="Arial" w:eastAsia="Arial" w:cs="Arial"/>
                <w:sz w:val="18"/>
                <w:szCs w:val="18"/>
              </w:rPr>
            </w:pPr>
            <w:r>
              <w:rPr>
                <w:rFonts w:ascii="Arial" w:hAnsi="Arial" w:eastAsia="Arial" w:cs="Arial"/>
                <w:color w:val="333333"/>
                <w:spacing w:val="-1"/>
                <w:sz w:val="18"/>
                <w:szCs w:val="18"/>
              </w:rPr>
              <w:t>470</w:t>
            </w:r>
          </w:p>
        </w:tc>
        <w:tc>
          <w:tcPr>
            <w:tcW w:w="1021" w:type="dxa"/>
            <w:vAlign w:val="top"/>
          </w:tcPr>
          <w:p w14:paraId="6BF00505">
            <w:pPr>
              <w:spacing w:line="247" w:lineRule="auto"/>
              <w:rPr>
                <w:rFonts w:ascii="Arial"/>
                <w:sz w:val="21"/>
              </w:rPr>
            </w:pPr>
          </w:p>
          <w:p w14:paraId="01A89A65">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4A3F3050">
            <w:pPr>
              <w:spacing w:line="387" w:lineRule="auto"/>
              <w:rPr>
                <w:rFonts w:ascii="Arial"/>
                <w:sz w:val="21"/>
              </w:rPr>
            </w:pPr>
          </w:p>
          <w:p w14:paraId="0DC51CB7">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5DF69185">
            <w:pPr>
              <w:spacing w:line="387" w:lineRule="auto"/>
              <w:rPr>
                <w:rFonts w:ascii="Arial"/>
                <w:sz w:val="21"/>
              </w:rPr>
            </w:pPr>
          </w:p>
          <w:p w14:paraId="6E291B52">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59AA04D7">
            <w:pPr>
              <w:spacing w:line="387" w:lineRule="auto"/>
              <w:rPr>
                <w:rFonts w:ascii="Arial"/>
                <w:sz w:val="21"/>
              </w:rPr>
            </w:pPr>
          </w:p>
          <w:p w14:paraId="57E95325">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6019A903">
            <w:pPr>
              <w:spacing w:line="387" w:lineRule="auto"/>
              <w:rPr>
                <w:rFonts w:ascii="Arial"/>
                <w:sz w:val="21"/>
              </w:rPr>
            </w:pPr>
          </w:p>
          <w:p w14:paraId="65150541">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502AA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bottom w:val="nil"/>
            </w:tcBorders>
            <w:vAlign w:val="top"/>
          </w:tcPr>
          <w:p w14:paraId="1AC1D05A">
            <w:pPr>
              <w:rPr>
                <w:rFonts w:ascii="Arial"/>
                <w:sz w:val="21"/>
              </w:rPr>
            </w:pPr>
          </w:p>
        </w:tc>
        <w:tc>
          <w:tcPr>
            <w:tcW w:w="620" w:type="dxa"/>
            <w:vMerge w:val="continue"/>
            <w:tcBorders>
              <w:top w:val="nil"/>
              <w:bottom w:val="nil"/>
            </w:tcBorders>
            <w:vAlign w:val="top"/>
          </w:tcPr>
          <w:p w14:paraId="049CAD40">
            <w:pPr>
              <w:rPr>
                <w:rFonts w:ascii="Arial"/>
                <w:sz w:val="21"/>
              </w:rPr>
            </w:pPr>
          </w:p>
        </w:tc>
        <w:tc>
          <w:tcPr>
            <w:tcW w:w="2564" w:type="dxa"/>
            <w:vMerge w:val="restart"/>
            <w:tcBorders>
              <w:bottom w:val="nil"/>
            </w:tcBorders>
            <w:vAlign w:val="top"/>
          </w:tcPr>
          <w:p w14:paraId="46A44BCE">
            <w:pPr>
              <w:spacing w:line="356" w:lineRule="auto"/>
              <w:rPr>
                <w:rFonts w:ascii="Arial"/>
                <w:sz w:val="21"/>
              </w:rPr>
            </w:pPr>
          </w:p>
          <w:p w14:paraId="5D013289">
            <w:pPr>
              <w:spacing w:before="59"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Merge w:val="restart"/>
            <w:tcBorders>
              <w:bottom w:val="nil"/>
            </w:tcBorders>
            <w:vAlign w:val="top"/>
          </w:tcPr>
          <w:p w14:paraId="1ECF9524">
            <w:pPr>
              <w:spacing w:line="369" w:lineRule="auto"/>
              <w:rPr>
                <w:rFonts w:ascii="Arial"/>
                <w:sz w:val="21"/>
              </w:rPr>
            </w:pPr>
          </w:p>
          <w:p w14:paraId="7CB068EB">
            <w:pPr>
              <w:spacing w:before="52" w:line="196" w:lineRule="auto"/>
              <w:ind w:left="1137"/>
              <w:rPr>
                <w:rFonts w:ascii="Arial" w:hAnsi="Arial" w:eastAsia="Arial" w:cs="Arial"/>
                <w:sz w:val="18"/>
                <w:szCs w:val="18"/>
              </w:rPr>
            </w:pPr>
            <w:r>
              <w:rPr>
                <w:rFonts w:ascii="Arial" w:hAnsi="Arial" w:eastAsia="Arial" w:cs="Arial"/>
                <w:color w:val="333333"/>
                <w:spacing w:val="-1"/>
                <w:sz w:val="18"/>
                <w:szCs w:val="18"/>
              </w:rPr>
              <w:t>470</w:t>
            </w:r>
          </w:p>
        </w:tc>
        <w:tc>
          <w:tcPr>
            <w:tcW w:w="1021" w:type="dxa"/>
            <w:vMerge w:val="restart"/>
            <w:tcBorders>
              <w:bottom w:val="nil"/>
            </w:tcBorders>
            <w:vAlign w:val="top"/>
          </w:tcPr>
          <w:p w14:paraId="288DDE35">
            <w:pPr>
              <w:spacing w:line="369" w:lineRule="auto"/>
              <w:rPr>
                <w:rFonts w:ascii="Arial"/>
                <w:sz w:val="21"/>
              </w:rPr>
            </w:pPr>
          </w:p>
          <w:p w14:paraId="204FABCC">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330</w:t>
            </w:r>
          </w:p>
        </w:tc>
        <w:tc>
          <w:tcPr>
            <w:tcW w:w="990" w:type="dxa"/>
            <w:vMerge w:val="restart"/>
            <w:tcBorders>
              <w:bottom w:val="nil"/>
            </w:tcBorders>
            <w:vAlign w:val="top"/>
          </w:tcPr>
          <w:p w14:paraId="3F388F26">
            <w:pPr>
              <w:spacing w:line="249" w:lineRule="auto"/>
              <w:rPr>
                <w:rFonts w:ascii="Arial"/>
                <w:sz w:val="21"/>
              </w:rPr>
            </w:pPr>
          </w:p>
          <w:p w14:paraId="5CB82BB2">
            <w:pPr>
              <w:spacing w:before="59" w:line="220" w:lineRule="auto"/>
              <w:ind w:left="342" w:right="28" w:hanging="261"/>
              <w:rPr>
                <w:rFonts w:ascii="宋体" w:hAnsi="宋体" w:eastAsia="宋体" w:cs="宋体"/>
                <w:sz w:val="18"/>
                <w:szCs w:val="18"/>
              </w:rPr>
            </w:pPr>
            <w:r>
              <w:rPr>
                <w:rFonts w:ascii="宋体" w:hAnsi="宋体" w:eastAsia="宋体" w:cs="宋体"/>
                <w:color w:val="333333"/>
                <w:spacing w:val="-6"/>
                <w:sz w:val="18"/>
                <w:szCs w:val="18"/>
              </w:rPr>
              <w:t>桂林市、北</w:t>
            </w:r>
            <w:r>
              <w:rPr>
                <w:rFonts w:ascii="宋体" w:hAnsi="宋体" w:eastAsia="宋体" w:cs="宋体"/>
                <w:color w:val="333333"/>
                <w:spacing w:val="3"/>
                <w:sz w:val="18"/>
                <w:szCs w:val="18"/>
              </w:rPr>
              <w:t xml:space="preserve"> </w:t>
            </w:r>
            <w:r>
              <w:rPr>
                <w:rFonts w:ascii="宋体" w:hAnsi="宋体" w:eastAsia="宋体" w:cs="宋体"/>
                <w:color w:val="333333"/>
                <w:spacing w:val="-4"/>
                <w:sz w:val="18"/>
                <w:szCs w:val="18"/>
              </w:rPr>
              <w:t>海市</w:t>
            </w:r>
          </w:p>
        </w:tc>
        <w:tc>
          <w:tcPr>
            <w:tcW w:w="991" w:type="dxa"/>
            <w:vAlign w:val="top"/>
          </w:tcPr>
          <w:p w14:paraId="59EFCD06">
            <w:pPr>
              <w:spacing w:before="187" w:line="219" w:lineRule="auto"/>
              <w:ind w:left="257"/>
              <w:rPr>
                <w:rFonts w:ascii="宋体" w:hAnsi="宋体" w:eastAsia="宋体" w:cs="宋体"/>
                <w:sz w:val="18"/>
                <w:szCs w:val="18"/>
              </w:rPr>
            </w:pPr>
            <w:r>
              <w:rPr>
                <w:rFonts w:ascii="Arial" w:hAnsi="Arial" w:eastAsia="Arial" w:cs="Arial"/>
                <w:color w:val="333333"/>
                <w:spacing w:val="-9"/>
                <w:sz w:val="18"/>
                <w:szCs w:val="18"/>
              </w:rPr>
              <w:t>1-2</w:t>
            </w:r>
            <w:r>
              <w:rPr>
                <w:rFonts w:ascii="宋体" w:hAnsi="宋体" w:eastAsia="宋体" w:cs="宋体"/>
                <w:color w:val="333333"/>
                <w:spacing w:val="-9"/>
                <w:sz w:val="18"/>
                <w:szCs w:val="18"/>
              </w:rPr>
              <w:t>月、</w:t>
            </w:r>
          </w:p>
        </w:tc>
        <w:tc>
          <w:tcPr>
            <w:tcW w:w="990" w:type="dxa"/>
            <w:vMerge w:val="restart"/>
            <w:tcBorders>
              <w:bottom w:val="nil"/>
            </w:tcBorders>
            <w:vAlign w:val="top"/>
          </w:tcPr>
          <w:p w14:paraId="5EF0E22F">
            <w:pPr>
              <w:spacing w:line="369" w:lineRule="auto"/>
              <w:rPr>
                <w:rFonts w:ascii="Arial"/>
                <w:sz w:val="21"/>
              </w:rPr>
            </w:pPr>
          </w:p>
          <w:p w14:paraId="46FA8DC8">
            <w:pPr>
              <w:spacing w:before="52" w:line="196" w:lineRule="auto"/>
              <w:ind w:left="381"/>
              <w:rPr>
                <w:rFonts w:ascii="Arial" w:hAnsi="Arial" w:eastAsia="Arial" w:cs="Arial"/>
                <w:sz w:val="18"/>
                <w:szCs w:val="18"/>
              </w:rPr>
            </w:pPr>
            <w:r>
              <w:rPr>
                <w:rFonts w:ascii="Arial" w:hAnsi="Arial" w:eastAsia="Arial" w:cs="Arial"/>
                <w:color w:val="333333"/>
                <w:spacing w:val="-3"/>
                <w:sz w:val="18"/>
                <w:szCs w:val="18"/>
              </w:rPr>
              <w:t>610</w:t>
            </w:r>
          </w:p>
        </w:tc>
        <w:tc>
          <w:tcPr>
            <w:tcW w:w="1012" w:type="dxa"/>
            <w:vMerge w:val="restart"/>
            <w:tcBorders>
              <w:bottom w:val="nil"/>
            </w:tcBorders>
            <w:vAlign w:val="top"/>
          </w:tcPr>
          <w:p w14:paraId="1ADCF187">
            <w:pPr>
              <w:spacing w:line="369" w:lineRule="auto"/>
              <w:rPr>
                <w:rFonts w:ascii="Arial"/>
                <w:sz w:val="21"/>
              </w:rPr>
            </w:pPr>
          </w:p>
          <w:p w14:paraId="790623F2">
            <w:pPr>
              <w:spacing w:before="52" w:line="196" w:lineRule="auto"/>
              <w:ind w:left="373"/>
              <w:rPr>
                <w:rFonts w:ascii="Arial" w:hAnsi="Arial" w:eastAsia="Arial" w:cs="Arial"/>
                <w:sz w:val="18"/>
                <w:szCs w:val="18"/>
              </w:rPr>
            </w:pPr>
            <w:r>
              <w:rPr>
                <w:rFonts w:ascii="Arial" w:hAnsi="Arial" w:eastAsia="Arial" w:cs="Arial"/>
                <w:color w:val="333333"/>
                <w:spacing w:val="-2"/>
                <w:sz w:val="18"/>
                <w:szCs w:val="18"/>
              </w:rPr>
              <w:t>430</w:t>
            </w:r>
          </w:p>
        </w:tc>
      </w:tr>
      <w:tr w14:paraId="694EC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75F6F127">
            <w:pPr>
              <w:rPr>
                <w:rFonts w:ascii="Arial"/>
                <w:sz w:val="21"/>
              </w:rPr>
            </w:pPr>
          </w:p>
        </w:tc>
        <w:tc>
          <w:tcPr>
            <w:tcW w:w="620" w:type="dxa"/>
            <w:vMerge w:val="continue"/>
            <w:tcBorders>
              <w:top w:val="nil"/>
            </w:tcBorders>
            <w:vAlign w:val="top"/>
          </w:tcPr>
          <w:p w14:paraId="48572BD1">
            <w:pPr>
              <w:rPr>
                <w:rFonts w:ascii="Arial"/>
                <w:sz w:val="21"/>
              </w:rPr>
            </w:pPr>
          </w:p>
        </w:tc>
        <w:tc>
          <w:tcPr>
            <w:tcW w:w="2564" w:type="dxa"/>
            <w:vMerge w:val="continue"/>
            <w:tcBorders>
              <w:top w:val="nil"/>
            </w:tcBorders>
            <w:vAlign w:val="top"/>
          </w:tcPr>
          <w:p w14:paraId="01830C38">
            <w:pPr>
              <w:rPr>
                <w:rFonts w:ascii="Arial"/>
                <w:sz w:val="21"/>
              </w:rPr>
            </w:pPr>
          </w:p>
        </w:tc>
        <w:tc>
          <w:tcPr>
            <w:tcW w:w="2564" w:type="dxa"/>
            <w:vMerge w:val="continue"/>
            <w:tcBorders>
              <w:top w:val="nil"/>
            </w:tcBorders>
            <w:vAlign w:val="top"/>
          </w:tcPr>
          <w:p w14:paraId="4CAA8DC9">
            <w:pPr>
              <w:rPr>
                <w:rFonts w:ascii="Arial"/>
                <w:sz w:val="21"/>
              </w:rPr>
            </w:pPr>
          </w:p>
        </w:tc>
        <w:tc>
          <w:tcPr>
            <w:tcW w:w="1021" w:type="dxa"/>
            <w:vMerge w:val="continue"/>
            <w:tcBorders>
              <w:top w:val="nil"/>
            </w:tcBorders>
            <w:vAlign w:val="top"/>
          </w:tcPr>
          <w:p w14:paraId="73AE4AC0">
            <w:pPr>
              <w:rPr>
                <w:rFonts w:ascii="Arial"/>
                <w:sz w:val="21"/>
              </w:rPr>
            </w:pPr>
          </w:p>
        </w:tc>
        <w:tc>
          <w:tcPr>
            <w:tcW w:w="990" w:type="dxa"/>
            <w:vMerge w:val="continue"/>
            <w:tcBorders>
              <w:top w:val="nil"/>
            </w:tcBorders>
            <w:vAlign w:val="top"/>
          </w:tcPr>
          <w:p w14:paraId="5797438A">
            <w:pPr>
              <w:rPr>
                <w:rFonts w:ascii="Arial"/>
                <w:sz w:val="21"/>
              </w:rPr>
            </w:pPr>
          </w:p>
        </w:tc>
        <w:tc>
          <w:tcPr>
            <w:tcW w:w="991" w:type="dxa"/>
            <w:vAlign w:val="top"/>
          </w:tcPr>
          <w:p w14:paraId="07765BD7">
            <w:pPr>
              <w:spacing w:before="184" w:line="219" w:lineRule="auto"/>
              <w:ind w:left="315"/>
              <w:rPr>
                <w:rFonts w:ascii="宋体" w:hAnsi="宋体" w:eastAsia="宋体" w:cs="宋体"/>
                <w:sz w:val="18"/>
                <w:szCs w:val="18"/>
              </w:rPr>
            </w:pPr>
            <w:r>
              <w:rPr>
                <w:rFonts w:ascii="Arial" w:hAnsi="Arial" w:eastAsia="Arial" w:cs="Arial"/>
                <w:color w:val="333333"/>
                <w:spacing w:val="-4"/>
                <w:sz w:val="18"/>
                <w:szCs w:val="18"/>
              </w:rPr>
              <w:t>7-9</w:t>
            </w:r>
            <w:r>
              <w:rPr>
                <w:rFonts w:ascii="宋体" w:hAnsi="宋体" w:eastAsia="宋体" w:cs="宋体"/>
                <w:color w:val="333333"/>
                <w:spacing w:val="-4"/>
                <w:sz w:val="18"/>
                <w:szCs w:val="18"/>
              </w:rPr>
              <w:t>月</w:t>
            </w:r>
          </w:p>
        </w:tc>
        <w:tc>
          <w:tcPr>
            <w:tcW w:w="990" w:type="dxa"/>
            <w:vMerge w:val="continue"/>
            <w:tcBorders>
              <w:top w:val="nil"/>
            </w:tcBorders>
            <w:vAlign w:val="top"/>
          </w:tcPr>
          <w:p w14:paraId="6F0AE8FA">
            <w:pPr>
              <w:rPr>
                <w:rFonts w:ascii="Arial"/>
                <w:sz w:val="21"/>
              </w:rPr>
            </w:pPr>
          </w:p>
        </w:tc>
        <w:tc>
          <w:tcPr>
            <w:tcW w:w="1012" w:type="dxa"/>
            <w:vMerge w:val="continue"/>
            <w:tcBorders>
              <w:top w:val="nil"/>
            </w:tcBorders>
            <w:vAlign w:val="top"/>
          </w:tcPr>
          <w:p w14:paraId="261CFDC3">
            <w:pPr>
              <w:rPr>
                <w:rFonts w:ascii="Arial"/>
                <w:sz w:val="21"/>
              </w:rPr>
            </w:pPr>
          </w:p>
        </w:tc>
      </w:tr>
      <w:tr w14:paraId="6958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513" w:type="dxa"/>
            <w:tcBorders>
              <w:bottom w:val="nil"/>
            </w:tcBorders>
            <w:vAlign w:val="top"/>
          </w:tcPr>
          <w:p w14:paraId="3A18C4A6">
            <w:pPr>
              <w:rPr>
                <w:rFonts w:ascii="Arial"/>
                <w:sz w:val="21"/>
              </w:rPr>
            </w:pPr>
          </w:p>
        </w:tc>
        <w:tc>
          <w:tcPr>
            <w:tcW w:w="620" w:type="dxa"/>
            <w:tcBorders>
              <w:bottom w:val="nil"/>
            </w:tcBorders>
            <w:vAlign w:val="top"/>
          </w:tcPr>
          <w:p w14:paraId="627337EA">
            <w:pPr>
              <w:rPr>
                <w:rFonts w:ascii="Arial"/>
                <w:sz w:val="21"/>
              </w:rPr>
            </w:pPr>
          </w:p>
        </w:tc>
        <w:tc>
          <w:tcPr>
            <w:tcW w:w="2564" w:type="dxa"/>
            <w:tcBorders>
              <w:bottom w:val="nil"/>
            </w:tcBorders>
            <w:vAlign w:val="top"/>
          </w:tcPr>
          <w:p w14:paraId="2466F735">
            <w:pPr>
              <w:rPr>
                <w:rFonts w:ascii="Arial"/>
                <w:sz w:val="21"/>
              </w:rPr>
            </w:pPr>
          </w:p>
        </w:tc>
        <w:tc>
          <w:tcPr>
            <w:tcW w:w="2564" w:type="dxa"/>
            <w:tcBorders>
              <w:bottom w:val="nil"/>
            </w:tcBorders>
            <w:vAlign w:val="top"/>
          </w:tcPr>
          <w:p w14:paraId="2F1F3B59">
            <w:pPr>
              <w:rPr>
                <w:rFonts w:ascii="Arial"/>
                <w:sz w:val="21"/>
              </w:rPr>
            </w:pPr>
          </w:p>
        </w:tc>
        <w:tc>
          <w:tcPr>
            <w:tcW w:w="1021" w:type="dxa"/>
            <w:tcBorders>
              <w:bottom w:val="nil"/>
            </w:tcBorders>
            <w:vAlign w:val="top"/>
          </w:tcPr>
          <w:p w14:paraId="4A9EB6FC">
            <w:pPr>
              <w:rPr>
                <w:rFonts w:ascii="Arial"/>
                <w:sz w:val="21"/>
              </w:rPr>
            </w:pPr>
          </w:p>
        </w:tc>
        <w:tc>
          <w:tcPr>
            <w:tcW w:w="990" w:type="dxa"/>
            <w:vAlign w:val="top"/>
          </w:tcPr>
          <w:p w14:paraId="12EC8646">
            <w:pPr>
              <w:spacing w:before="108" w:line="215" w:lineRule="auto"/>
              <w:ind w:left="315" w:right="28" w:hanging="241"/>
              <w:rPr>
                <w:rFonts w:ascii="宋体" w:hAnsi="宋体" w:eastAsia="宋体" w:cs="宋体"/>
                <w:sz w:val="18"/>
                <w:szCs w:val="18"/>
              </w:rPr>
            </w:pPr>
            <w:r>
              <w:rPr>
                <w:rFonts w:ascii="宋体" w:hAnsi="宋体" w:eastAsia="宋体" w:cs="宋体"/>
                <w:color w:val="333333"/>
                <w:spacing w:val="-4"/>
                <w:sz w:val="18"/>
                <w:szCs w:val="18"/>
              </w:rPr>
              <w:t>海口市、文</w:t>
            </w:r>
            <w:r>
              <w:rPr>
                <w:rFonts w:ascii="宋体" w:hAnsi="宋体" w:eastAsia="宋体" w:cs="宋体"/>
                <w:color w:val="333333"/>
                <w:sz w:val="18"/>
                <w:szCs w:val="18"/>
              </w:rPr>
              <w:t xml:space="preserve"> </w:t>
            </w:r>
            <w:r>
              <w:rPr>
                <w:rFonts w:ascii="宋体" w:hAnsi="宋体" w:eastAsia="宋体" w:cs="宋体"/>
                <w:color w:val="333333"/>
                <w:spacing w:val="-14"/>
                <w:sz w:val="18"/>
                <w:szCs w:val="18"/>
              </w:rPr>
              <w:t>昌市、</w:t>
            </w:r>
          </w:p>
        </w:tc>
        <w:tc>
          <w:tcPr>
            <w:tcW w:w="991" w:type="dxa"/>
            <w:tcBorders>
              <w:bottom w:val="nil"/>
            </w:tcBorders>
            <w:vAlign w:val="top"/>
          </w:tcPr>
          <w:p w14:paraId="22AF3A90">
            <w:pPr>
              <w:rPr>
                <w:rFonts w:ascii="Arial"/>
                <w:sz w:val="21"/>
              </w:rPr>
            </w:pPr>
          </w:p>
        </w:tc>
        <w:tc>
          <w:tcPr>
            <w:tcW w:w="990" w:type="dxa"/>
            <w:tcBorders>
              <w:bottom w:val="nil"/>
            </w:tcBorders>
            <w:vAlign w:val="top"/>
          </w:tcPr>
          <w:p w14:paraId="45581D11">
            <w:pPr>
              <w:rPr>
                <w:rFonts w:ascii="Arial"/>
                <w:sz w:val="21"/>
              </w:rPr>
            </w:pPr>
          </w:p>
        </w:tc>
        <w:tc>
          <w:tcPr>
            <w:tcW w:w="1012" w:type="dxa"/>
            <w:tcBorders>
              <w:bottom w:val="nil"/>
            </w:tcBorders>
            <w:vAlign w:val="top"/>
          </w:tcPr>
          <w:p w14:paraId="79688D93">
            <w:pPr>
              <w:rPr>
                <w:rFonts w:ascii="Arial"/>
                <w:sz w:val="21"/>
              </w:rPr>
            </w:pPr>
          </w:p>
        </w:tc>
      </w:tr>
    </w:tbl>
    <w:p w14:paraId="4EF66E38">
      <w:pPr>
        <w:rPr>
          <w:rFonts w:ascii="Arial"/>
          <w:sz w:val="21"/>
        </w:rPr>
      </w:pPr>
    </w:p>
    <w:p w14:paraId="08C9F1D1">
      <w:pPr>
        <w:rPr>
          <w:rFonts w:ascii="Arial" w:hAnsi="Arial" w:eastAsia="Arial" w:cs="Arial"/>
          <w:sz w:val="21"/>
          <w:szCs w:val="21"/>
        </w:rPr>
        <w:sectPr>
          <w:pgSz w:w="11905" w:h="16837"/>
          <w:pgMar w:top="400" w:right="307" w:bottom="400" w:left="327" w:header="0" w:footer="340" w:gutter="0"/>
          <w:pgNumType w:fmt="decimal"/>
          <w:cols w:space="720" w:num="1"/>
        </w:sectPr>
      </w:pPr>
    </w:p>
    <w:p w14:paraId="0C32E5FF">
      <w:pPr>
        <w:spacing w:line="140" w:lineRule="exact"/>
      </w:pPr>
    </w:p>
    <w:tbl>
      <w:tblPr>
        <w:tblStyle w:val="6"/>
        <w:tblW w:w="112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620"/>
        <w:gridCol w:w="2564"/>
        <w:gridCol w:w="2564"/>
        <w:gridCol w:w="1021"/>
        <w:gridCol w:w="990"/>
        <w:gridCol w:w="991"/>
        <w:gridCol w:w="990"/>
        <w:gridCol w:w="1012"/>
      </w:tblGrid>
      <w:tr w14:paraId="7CE00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1" w:hRule="atLeast"/>
        </w:trPr>
        <w:tc>
          <w:tcPr>
            <w:tcW w:w="513" w:type="dxa"/>
            <w:vMerge w:val="restart"/>
            <w:tcBorders>
              <w:top w:val="nil"/>
              <w:bottom w:val="nil"/>
            </w:tcBorders>
            <w:vAlign w:val="top"/>
          </w:tcPr>
          <w:p w14:paraId="1CBD67E9">
            <w:pPr>
              <w:spacing w:line="251" w:lineRule="auto"/>
              <w:rPr>
                <w:rFonts w:ascii="Arial"/>
                <w:sz w:val="21"/>
              </w:rPr>
            </w:pPr>
          </w:p>
          <w:p w14:paraId="4D372EF4">
            <w:pPr>
              <w:spacing w:line="252" w:lineRule="auto"/>
              <w:rPr>
                <w:rFonts w:ascii="Arial"/>
                <w:sz w:val="21"/>
              </w:rPr>
            </w:pPr>
          </w:p>
          <w:p w14:paraId="4951C43B">
            <w:pPr>
              <w:spacing w:line="252" w:lineRule="auto"/>
              <w:rPr>
                <w:rFonts w:ascii="Arial"/>
                <w:sz w:val="21"/>
              </w:rPr>
            </w:pPr>
          </w:p>
          <w:p w14:paraId="0ED32C85">
            <w:pPr>
              <w:spacing w:before="52" w:line="196" w:lineRule="auto"/>
              <w:ind w:left="169"/>
              <w:rPr>
                <w:rFonts w:ascii="Arial" w:hAnsi="Arial" w:eastAsia="Arial" w:cs="Arial"/>
                <w:sz w:val="18"/>
                <w:szCs w:val="18"/>
              </w:rPr>
            </w:pPr>
            <w:r>
              <w:rPr>
                <w:rFonts w:ascii="Arial" w:hAnsi="Arial" w:eastAsia="Arial" w:cs="Arial"/>
                <w:color w:val="333333"/>
                <w:spacing w:val="-3"/>
                <w:sz w:val="18"/>
                <w:szCs w:val="18"/>
              </w:rPr>
              <w:t>26</w:t>
            </w:r>
          </w:p>
        </w:tc>
        <w:tc>
          <w:tcPr>
            <w:tcW w:w="620" w:type="dxa"/>
            <w:vMerge w:val="restart"/>
            <w:tcBorders>
              <w:top w:val="nil"/>
              <w:bottom w:val="nil"/>
            </w:tcBorders>
            <w:vAlign w:val="top"/>
          </w:tcPr>
          <w:p w14:paraId="3257379C">
            <w:pPr>
              <w:spacing w:line="248" w:lineRule="auto"/>
              <w:rPr>
                <w:rFonts w:ascii="Arial"/>
                <w:sz w:val="21"/>
              </w:rPr>
            </w:pPr>
          </w:p>
          <w:p w14:paraId="5B38DCD1">
            <w:pPr>
              <w:spacing w:line="249" w:lineRule="auto"/>
              <w:rPr>
                <w:rFonts w:ascii="Arial"/>
                <w:sz w:val="21"/>
              </w:rPr>
            </w:pPr>
          </w:p>
          <w:p w14:paraId="58F71961">
            <w:pPr>
              <w:spacing w:line="249" w:lineRule="auto"/>
              <w:rPr>
                <w:rFonts w:ascii="Arial"/>
                <w:sz w:val="21"/>
              </w:rPr>
            </w:pPr>
          </w:p>
          <w:p w14:paraId="68C7333E">
            <w:pPr>
              <w:spacing w:before="59" w:line="221" w:lineRule="auto"/>
              <w:ind w:left="140"/>
              <w:rPr>
                <w:rFonts w:ascii="宋体" w:hAnsi="宋体" w:eastAsia="宋体" w:cs="宋体"/>
                <w:sz w:val="18"/>
                <w:szCs w:val="18"/>
              </w:rPr>
            </w:pPr>
            <w:r>
              <w:rPr>
                <w:rFonts w:ascii="宋体" w:hAnsi="宋体" w:eastAsia="宋体" w:cs="宋体"/>
                <w:color w:val="333333"/>
                <w:spacing w:val="-4"/>
                <w:sz w:val="18"/>
                <w:szCs w:val="18"/>
              </w:rPr>
              <w:t>海南</w:t>
            </w:r>
          </w:p>
        </w:tc>
        <w:tc>
          <w:tcPr>
            <w:tcW w:w="2564" w:type="dxa"/>
            <w:vMerge w:val="restart"/>
            <w:tcBorders>
              <w:top w:val="nil"/>
              <w:bottom w:val="nil"/>
            </w:tcBorders>
            <w:vAlign w:val="top"/>
          </w:tcPr>
          <w:p w14:paraId="768433F8">
            <w:pPr>
              <w:spacing w:before="38" w:line="224" w:lineRule="auto"/>
              <w:ind w:left="130" w:right="119" w:hanging="3"/>
              <w:rPr>
                <w:rFonts w:ascii="宋体" w:hAnsi="宋体" w:eastAsia="宋体" w:cs="宋体"/>
                <w:sz w:val="18"/>
                <w:szCs w:val="18"/>
              </w:rPr>
            </w:pPr>
            <w:r>
              <w:rPr>
                <w:rFonts w:ascii="宋体" w:hAnsi="宋体" w:eastAsia="宋体" w:cs="宋体"/>
                <w:color w:val="333333"/>
                <w:spacing w:val="-3"/>
                <w:sz w:val="18"/>
                <w:szCs w:val="18"/>
              </w:rPr>
              <w:t>海口市、三沙市、儋州市、五</w:t>
            </w:r>
            <w:r>
              <w:rPr>
                <w:rFonts w:ascii="宋体" w:hAnsi="宋体" w:eastAsia="宋体" w:cs="宋体"/>
                <w:color w:val="333333"/>
                <w:spacing w:val="7"/>
                <w:sz w:val="18"/>
                <w:szCs w:val="18"/>
              </w:rPr>
              <w:t xml:space="preserve"> </w:t>
            </w:r>
            <w:r>
              <w:rPr>
                <w:rFonts w:ascii="宋体" w:hAnsi="宋体" w:eastAsia="宋体" w:cs="宋体"/>
                <w:color w:val="333333"/>
                <w:spacing w:val="-3"/>
                <w:sz w:val="18"/>
                <w:szCs w:val="18"/>
              </w:rPr>
              <w:t>指山市、文昌市、琼海市、万</w:t>
            </w:r>
            <w:r>
              <w:rPr>
                <w:rFonts w:ascii="宋体" w:hAnsi="宋体" w:eastAsia="宋体" w:cs="宋体"/>
                <w:color w:val="333333"/>
                <w:spacing w:val="6"/>
                <w:sz w:val="18"/>
                <w:szCs w:val="18"/>
              </w:rPr>
              <w:t xml:space="preserve"> </w:t>
            </w:r>
            <w:r>
              <w:rPr>
                <w:rFonts w:ascii="宋体" w:hAnsi="宋体" w:eastAsia="宋体" w:cs="宋体"/>
                <w:color w:val="333333"/>
                <w:spacing w:val="-3"/>
                <w:sz w:val="18"/>
                <w:szCs w:val="18"/>
              </w:rPr>
              <w:t>宁市、东方市、定安县、屯昌</w:t>
            </w:r>
            <w:r>
              <w:rPr>
                <w:rFonts w:ascii="宋体" w:hAnsi="宋体" w:eastAsia="宋体" w:cs="宋体"/>
                <w:color w:val="333333"/>
                <w:spacing w:val="6"/>
                <w:sz w:val="18"/>
                <w:szCs w:val="18"/>
              </w:rPr>
              <w:t xml:space="preserve"> </w:t>
            </w:r>
            <w:r>
              <w:rPr>
                <w:rFonts w:ascii="宋体" w:hAnsi="宋体" w:eastAsia="宋体" w:cs="宋体"/>
                <w:color w:val="333333"/>
                <w:spacing w:val="-3"/>
                <w:sz w:val="18"/>
                <w:szCs w:val="18"/>
              </w:rPr>
              <w:t>县、澄迈县、临高县、白沙县</w:t>
            </w:r>
            <w:r>
              <w:rPr>
                <w:rFonts w:ascii="宋体" w:hAnsi="宋体" w:eastAsia="宋体" w:cs="宋体"/>
                <w:color w:val="333333"/>
                <w:spacing w:val="6"/>
                <w:sz w:val="18"/>
                <w:szCs w:val="18"/>
              </w:rPr>
              <w:t xml:space="preserve"> </w:t>
            </w:r>
            <w:r>
              <w:rPr>
                <w:rFonts w:ascii="宋体" w:hAnsi="宋体" w:eastAsia="宋体" w:cs="宋体"/>
                <w:color w:val="333333"/>
                <w:spacing w:val="-3"/>
                <w:sz w:val="18"/>
                <w:szCs w:val="18"/>
              </w:rPr>
              <w:t>、昌江县、乐东县、陵水县、</w:t>
            </w:r>
            <w:r>
              <w:rPr>
                <w:rFonts w:ascii="宋体" w:hAnsi="宋体" w:eastAsia="宋体" w:cs="宋体"/>
                <w:color w:val="333333"/>
                <w:spacing w:val="6"/>
                <w:sz w:val="18"/>
                <w:szCs w:val="18"/>
              </w:rPr>
              <w:t xml:space="preserve"> </w:t>
            </w:r>
            <w:r>
              <w:rPr>
                <w:rFonts w:ascii="宋体" w:hAnsi="宋体" w:eastAsia="宋体" w:cs="宋体"/>
                <w:color w:val="333333"/>
                <w:spacing w:val="-3"/>
                <w:sz w:val="18"/>
                <w:szCs w:val="18"/>
              </w:rPr>
              <w:t>保亭县、琼中县、洋浦开发区</w:t>
            </w:r>
          </w:p>
        </w:tc>
        <w:tc>
          <w:tcPr>
            <w:tcW w:w="2564" w:type="dxa"/>
            <w:vMerge w:val="restart"/>
            <w:tcBorders>
              <w:top w:val="nil"/>
              <w:bottom w:val="nil"/>
            </w:tcBorders>
            <w:vAlign w:val="top"/>
          </w:tcPr>
          <w:p w14:paraId="529A5A23">
            <w:pPr>
              <w:spacing w:line="263" w:lineRule="auto"/>
              <w:rPr>
                <w:rFonts w:ascii="Arial"/>
                <w:sz w:val="21"/>
              </w:rPr>
            </w:pPr>
          </w:p>
          <w:p w14:paraId="07D86DE8">
            <w:pPr>
              <w:spacing w:line="263" w:lineRule="auto"/>
              <w:rPr>
                <w:rFonts w:ascii="Arial"/>
                <w:sz w:val="21"/>
              </w:rPr>
            </w:pPr>
          </w:p>
          <w:p w14:paraId="36827666">
            <w:pPr>
              <w:spacing w:before="52" w:line="196" w:lineRule="auto"/>
              <w:ind w:left="1155"/>
              <w:rPr>
                <w:rFonts w:ascii="Arial" w:hAnsi="Arial" w:eastAsia="Arial" w:cs="Arial"/>
                <w:sz w:val="18"/>
                <w:szCs w:val="18"/>
              </w:rPr>
            </w:pPr>
            <w:r>
              <w:rPr>
                <w:rFonts w:ascii="Arial" w:hAnsi="Arial" w:eastAsia="Arial" w:cs="Arial"/>
                <w:color w:val="333333"/>
                <w:spacing w:val="-4"/>
                <w:sz w:val="18"/>
                <w:szCs w:val="18"/>
              </w:rPr>
              <w:t>500</w:t>
            </w:r>
          </w:p>
        </w:tc>
        <w:tc>
          <w:tcPr>
            <w:tcW w:w="1021" w:type="dxa"/>
            <w:vMerge w:val="restart"/>
            <w:tcBorders>
              <w:top w:val="nil"/>
              <w:bottom w:val="nil"/>
            </w:tcBorders>
            <w:vAlign w:val="top"/>
          </w:tcPr>
          <w:p w14:paraId="2B58753D">
            <w:pPr>
              <w:spacing w:line="263" w:lineRule="auto"/>
              <w:rPr>
                <w:rFonts w:ascii="Arial"/>
                <w:sz w:val="21"/>
              </w:rPr>
            </w:pPr>
          </w:p>
          <w:p w14:paraId="393FD2A4">
            <w:pPr>
              <w:spacing w:line="263" w:lineRule="auto"/>
              <w:rPr>
                <w:rFonts w:ascii="Arial"/>
                <w:sz w:val="21"/>
              </w:rPr>
            </w:pPr>
          </w:p>
          <w:p w14:paraId="29425C54">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6ECD85DD">
            <w:pPr>
              <w:spacing w:line="288" w:lineRule="auto"/>
              <w:rPr>
                <w:rFonts w:ascii="Arial"/>
                <w:sz w:val="21"/>
              </w:rPr>
            </w:pPr>
          </w:p>
          <w:p w14:paraId="41AE889F">
            <w:pPr>
              <w:spacing w:line="289" w:lineRule="auto"/>
              <w:rPr>
                <w:rFonts w:ascii="Arial"/>
                <w:sz w:val="21"/>
              </w:rPr>
            </w:pPr>
          </w:p>
          <w:p w14:paraId="2F2AFA11">
            <w:pPr>
              <w:spacing w:before="58" w:line="224" w:lineRule="auto"/>
              <w:ind w:left="255"/>
              <w:rPr>
                <w:rFonts w:ascii="宋体" w:hAnsi="宋体" w:eastAsia="宋体" w:cs="宋体"/>
                <w:sz w:val="18"/>
                <w:szCs w:val="18"/>
              </w:rPr>
            </w:pPr>
            <w:r>
              <w:rPr>
                <w:rFonts w:ascii="宋体" w:hAnsi="宋体" w:eastAsia="宋体" w:cs="宋体"/>
                <w:color w:val="333333"/>
                <w:spacing w:val="-4"/>
                <w:sz w:val="18"/>
                <w:szCs w:val="18"/>
              </w:rPr>
              <w:t>澄迈县</w:t>
            </w:r>
          </w:p>
        </w:tc>
        <w:tc>
          <w:tcPr>
            <w:tcW w:w="991" w:type="dxa"/>
            <w:tcBorders>
              <w:top w:val="nil"/>
            </w:tcBorders>
            <w:vAlign w:val="top"/>
          </w:tcPr>
          <w:p w14:paraId="231DCB97">
            <w:pPr>
              <w:spacing w:line="313" w:lineRule="auto"/>
              <w:rPr>
                <w:rFonts w:ascii="Arial"/>
                <w:sz w:val="21"/>
              </w:rPr>
            </w:pPr>
          </w:p>
          <w:p w14:paraId="1B0E44C5">
            <w:pPr>
              <w:spacing w:before="58" w:line="219" w:lineRule="auto"/>
              <w:ind w:left="295"/>
              <w:rPr>
                <w:rFonts w:ascii="宋体" w:hAnsi="宋体" w:eastAsia="宋体" w:cs="宋体"/>
                <w:sz w:val="18"/>
                <w:szCs w:val="18"/>
              </w:rPr>
            </w:pPr>
            <w:r>
              <w:rPr>
                <w:rFonts w:ascii="Arial" w:hAnsi="Arial" w:eastAsia="Arial" w:cs="Arial"/>
                <w:color w:val="333333"/>
                <w:spacing w:val="-8"/>
                <w:sz w:val="18"/>
                <w:szCs w:val="18"/>
              </w:rPr>
              <w:t>11-2</w:t>
            </w:r>
            <w:r>
              <w:rPr>
                <w:rFonts w:ascii="宋体" w:hAnsi="宋体" w:eastAsia="宋体" w:cs="宋体"/>
                <w:color w:val="333333"/>
                <w:spacing w:val="-8"/>
                <w:sz w:val="18"/>
                <w:szCs w:val="18"/>
              </w:rPr>
              <w:t>月</w:t>
            </w:r>
          </w:p>
        </w:tc>
        <w:tc>
          <w:tcPr>
            <w:tcW w:w="990" w:type="dxa"/>
            <w:tcBorders>
              <w:top w:val="nil"/>
            </w:tcBorders>
            <w:vAlign w:val="top"/>
          </w:tcPr>
          <w:p w14:paraId="2479733B">
            <w:pPr>
              <w:spacing w:line="323" w:lineRule="auto"/>
              <w:rPr>
                <w:rFonts w:ascii="Arial"/>
                <w:sz w:val="21"/>
              </w:rPr>
            </w:pPr>
          </w:p>
          <w:p w14:paraId="0E0BDF7E">
            <w:pPr>
              <w:spacing w:before="52" w:line="196" w:lineRule="auto"/>
              <w:ind w:left="381"/>
              <w:rPr>
                <w:rFonts w:ascii="Arial" w:hAnsi="Arial" w:eastAsia="Arial" w:cs="Arial"/>
                <w:sz w:val="18"/>
                <w:szCs w:val="18"/>
              </w:rPr>
            </w:pPr>
            <w:r>
              <w:rPr>
                <w:rFonts w:ascii="Arial" w:hAnsi="Arial" w:eastAsia="Arial" w:cs="Arial"/>
                <w:color w:val="333333"/>
                <w:spacing w:val="-3"/>
                <w:sz w:val="18"/>
                <w:szCs w:val="18"/>
              </w:rPr>
              <w:t>650</w:t>
            </w:r>
          </w:p>
        </w:tc>
        <w:tc>
          <w:tcPr>
            <w:tcW w:w="1012" w:type="dxa"/>
            <w:tcBorders>
              <w:top w:val="nil"/>
            </w:tcBorders>
            <w:vAlign w:val="top"/>
          </w:tcPr>
          <w:p w14:paraId="75C91D7B">
            <w:pPr>
              <w:spacing w:line="323" w:lineRule="auto"/>
              <w:rPr>
                <w:rFonts w:ascii="Arial"/>
                <w:sz w:val="21"/>
              </w:rPr>
            </w:pPr>
          </w:p>
          <w:p w14:paraId="62FACD89">
            <w:pPr>
              <w:spacing w:before="52" w:line="196" w:lineRule="auto"/>
              <w:ind w:left="373"/>
              <w:rPr>
                <w:rFonts w:ascii="Arial" w:hAnsi="Arial" w:eastAsia="Arial" w:cs="Arial"/>
                <w:sz w:val="18"/>
                <w:szCs w:val="18"/>
              </w:rPr>
            </w:pPr>
            <w:r>
              <w:rPr>
                <w:rFonts w:ascii="Arial" w:hAnsi="Arial" w:eastAsia="Arial" w:cs="Arial"/>
                <w:color w:val="333333"/>
                <w:spacing w:val="-2"/>
                <w:sz w:val="18"/>
                <w:szCs w:val="18"/>
              </w:rPr>
              <w:t>450</w:t>
            </w:r>
          </w:p>
        </w:tc>
      </w:tr>
      <w:tr w14:paraId="0DBE3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13" w:type="dxa"/>
            <w:vMerge w:val="continue"/>
            <w:tcBorders>
              <w:top w:val="nil"/>
              <w:bottom w:val="nil"/>
            </w:tcBorders>
            <w:vAlign w:val="top"/>
          </w:tcPr>
          <w:p w14:paraId="60B77FD3">
            <w:pPr>
              <w:rPr>
                <w:rFonts w:ascii="Arial"/>
                <w:sz w:val="21"/>
              </w:rPr>
            </w:pPr>
          </w:p>
        </w:tc>
        <w:tc>
          <w:tcPr>
            <w:tcW w:w="620" w:type="dxa"/>
            <w:vMerge w:val="continue"/>
            <w:tcBorders>
              <w:top w:val="nil"/>
              <w:bottom w:val="nil"/>
            </w:tcBorders>
            <w:vAlign w:val="top"/>
          </w:tcPr>
          <w:p w14:paraId="122E4BF8">
            <w:pPr>
              <w:rPr>
                <w:rFonts w:ascii="Arial"/>
                <w:sz w:val="21"/>
              </w:rPr>
            </w:pPr>
          </w:p>
        </w:tc>
        <w:tc>
          <w:tcPr>
            <w:tcW w:w="2564" w:type="dxa"/>
            <w:vMerge w:val="continue"/>
            <w:tcBorders>
              <w:top w:val="nil"/>
              <w:bottom w:val="nil"/>
            </w:tcBorders>
            <w:vAlign w:val="top"/>
          </w:tcPr>
          <w:p w14:paraId="29B8F2B6">
            <w:pPr>
              <w:rPr>
                <w:rFonts w:ascii="Arial"/>
                <w:sz w:val="21"/>
              </w:rPr>
            </w:pPr>
          </w:p>
        </w:tc>
        <w:tc>
          <w:tcPr>
            <w:tcW w:w="2564" w:type="dxa"/>
            <w:vMerge w:val="continue"/>
            <w:tcBorders>
              <w:top w:val="nil"/>
              <w:bottom w:val="nil"/>
            </w:tcBorders>
            <w:vAlign w:val="top"/>
          </w:tcPr>
          <w:p w14:paraId="696D7C98">
            <w:pPr>
              <w:rPr>
                <w:rFonts w:ascii="Arial"/>
                <w:sz w:val="21"/>
              </w:rPr>
            </w:pPr>
          </w:p>
        </w:tc>
        <w:tc>
          <w:tcPr>
            <w:tcW w:w="1021" w:type="dxa"/>
            <w:vMerge w:val="continue"/>
            <w:tcBorders>
              <w:top w:val="nil"/>
              <w:bottom w:val="nil"/>
            </w:tcBorders>
            <w:vAlign w:val="top"/>
          </w:tcPr>
          <w:p w14:paraId="0AEA6162">
            <w:pPr>
              <w:rPr>
                <w:rFonts w:ascii="Arial"/>
                <w:sz w:val="21"/>
              </w:rPr>
            </w:pPr>
          </w:p>
        </w:tc>
        <w:tc>
          <w:tcPr>
            <w:tcW w:w="990" w:type="dxa"/>
            <w:vAlign w:val="top"/>
          </w:tcPr>
          <w:p w14:paraId="52377363">
            <w:pPr>
              <w:spacing w:before="41" w:line="219" w:lineRule="auto"/>
              <w:jc w:val="right"/>
              <w:rPr>
                <w:rFonts w:ascii="宋体" w:hAnsi="宋体" w:eastAsia="宋体" w:cs="宋体"/>
                <w:sz w:val="18"/>
                <w:szCs w:val="18"/>
              </w:rPr>
            </w:pPr>
            <w:r>
              <w:rPr>
                <w:rFonts w:ascii="宋体" w:hAnsi="宋体" w:eastAsia="宋体" w:cs="宋体"/>
                <w:color w:val="333333"/>
                <w:spacing w:val="-2"/>
                <w:sz w:val="18"/>
                <w:szCs w:val="18"/>
              </w:rPr>
              <w:t>琼海市、万</w:t>
            </w:r>
          </w:p>
        </w:tc>
        <w:tc>
          <w:tcPr>
            <w:tcW w:w="991" w:type="dxa"/>
            <w:vMerge w:val="restart"/>
            <w:tcBorders>
              <w:bottom w:val="nil"/>
            </w:tcBorders>
            <w:vAlign w:val="top"/>
          </w:tcPr>
          <w:p w14:paraId="577C056A">
            <w:pPr>
              <w:spacing w:before="132" w:line="219" w:lineRule="auto"/>
              <w:ind w:left="295"/>
              <w:rPr>
                <w:rFonts w:ascii="宋体" w:hAnsi="宋体" w:eastAsia="宋体" w:cs="宋体"/>
                <w:sz w:val="18"/>
                <w:szCs w:val="18"/>
              </w:rPr>
            </w:pPr>
            <w:r>
              <w:rPr>
                <w:rFonts w:ascii="Arial" w:hAnsi="Arial" w:eastAsia="Arial" w:cs="Arial"/>
                <w:color w:val="333333"/>
                <w:spacing w:val="-8"/>
                <w:sz w:val="18"/>
                <w:szCs w:val="18"/>
              </w:rPr>
              <w:t>11-3</w:t>
            </w:r>
            <w:r>
              <w:rPr>
                <w:rFonts w:ascii="宋体" w:hAnsi="宋体" w:eastAsia="宋体" w:cs="宋体"/>
                <w:color w:val="333333"/>
                <w:spacing w:val="-8"/>
                <w:sz w:val="18"/>
                <w:szCs w:val="18"/>
              </w:rPr>
              <w:t>月</w:t>
            </w:r>
          </w:p>
        </w:tc>
        <w:tc>
          <w:tcPr>
            <w:tcW w:w="990" w:type="dxa"/>
            <w:vMerge w:val="restart"/>
            <w:tcBorders>
              <w:bottom w:val="nil"/>
            </w:tcBorders>
            <w:vAlign w:val="top"/>
          </w:tcPr>
          <w:p w14:paraId="1D8D278C">
            <w:pPr>
              <w:spacing w:before="136" w:line="196" w:lineRule="auto"/>
              <w:ind w:left="381"/>
              <w:rPr>
                <w:rFonts w:ascii="Arial" w:hAnsi="Arial" w:eastAsia="Arial" w:cs="Arial"/>
                <w:sz w:val="18"/>
                <w:szCs w:val="18"/>
              </w:rPr>
            </w:pPr>
            <w:r>
              <w:rPr>
                <w:rFonts w:ascii="Arial" w:hAnsi="Arial" w:eastAsia="Arial" w:cs="Arial"/>
                <w:color w:val="333333"/>
                <w:spacing w:val="-3"/>
                <w:sz w:val="18"/>
                <w:szCs w:val="18"/>
              </w:rPr>
              <w:t>650</w:t>
            </w:r>
          </w:p>
        </w:tc>
        <w:tc>
          <w:tcPr>
            <w:tcW w:w="1012" w:type="dxa"/>
            <w:vMerge w:val="restart"/>
            <w:tcBorders>
              <w:bottom w:val="nil"/>
            </w:tcBorders>
            <w:vAlign w:val="top"/>
          </w:tcPr>
          <w:p w14:paraId="39B4FE60">
            <w:pPr>
              <w:spacing w:before="136" w:line="196" w:lineRule="auto"/>
              <w:ind w:left="373"/>
              <w:rPr>
                <w:rFonts w:ascii="Arial" w:hAnsi="Arial" w:eastAsia="Arial" w:cs="Arial"/>
                <w:sz w:val="18"/>
                <w:szCs w:val="18"/>
              </w:rPr>
            </w:pPr>
            <w:r>
              <w:rPr>
                <w:rFonts w:ascii="Arial" w:hAnsi="Arial" w:eastAsia="Arial" w:cs="Arial"/>
                <w:color w:val="333333"/>
                <w:spacing w:val="-2"/>
                <w:sz w:val="18"/>
                <w:szCs w:val="18"/>
              </w:rPr>
              <w:t>450</w:t>
            </w:r>
          </w:p>
        </w:tc>
      </w:tr>
      <w:tr w14:paraId="57AA0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 w:hRule="atLeast"/>
        </w:trPr>
        <w:tc>
          <w:tcPr>
            <w:tcW w:w="513" w:type="dxa"/>
            <w:vMerge w:val="continue"/>
            <w:tcBorders>
              <w:top w:val="nil"/>
              <w:bottom w:val="nil"/>
            </w:tcBorders>
            <w:vAlign w:val="top"/>
          </w:tcPr>
          <w:p w14:paraId="7B5A9BF9">
            <w:pPr>
              <w:rPr>
                <w:rFonts w:ascii="Arial"/>
                <w:sz w:val="21"/>
              </w:rPr>
            </w:pPr>
          </w:p>
        </w:tc>
        <w:tc>
          <w:tcPr>
            <w:tcW w:w="620" w:type="dxa"/>
            <w:vMerge w:val="continue"/>
            <w:tcBorders>
              <w:top w:val="nil"/>
              <w:bottom w:val="nil"/>
            </w:tcBorders>
            <w:vAlign w:val="top"/>
          </w:tcPr>
          <w:p w14:paraId="0DB0C9E4">
            <w:pPr>
              <w:rPr>
                <w:rFonts w:ascii="Arial"/>
                <w:sz w:val="21"/>
              </w:rPr>
            </w:pPr>
          </w:p>
        </w:tc>
        <w:tc>
          <w:tcPr>
            <w:tcW w:w="2564" w:type="dxa"/>
            <w:vMerge w:val="continue"/>
            <w:tcBorders>
              <w:top w:val="nil"/>
            </w:tcBorders>
            <w:vAlign w:val="top"/>
          </w:tcPr>
          <w:p w14:paraId="6014DFF2">
            <w:pPr>
              <w:rPr>
                <w:rFonts w:ascii="Arial"/>
                <w:sz w:val="21"/>
              </w:rPr>
            </w:pPr>
          </w:p>
        </w:tc>
        <w:tc>
          <w:tcPr>
            <w:tcW w:w="2564" w:type="dxa"/>
            <w:vMerge w:val="continue"/>
            <w:tcBorders>
              <w:top w:val="nil"/>
            </w:tcBorders>
            <w:vAlign w:val="top"/>
          </w:tcPr>
          <w:p w14:paraId="693AFCD1">
            <w:pPr>
              <w:rPr>
                <w:rFonts w:ascii="Arial"/>
                <w:sz w:val="21"/>
              </w:rPr>
            </w:pPr>
          </w:p>
        </w:tc>
        <w:tc>
          <w:tcPr>
            <w:tcW w:w="1021" w:type="dxa"/>
            <w:vMerge w:val="continue"/>
            <w:tcBorders>
              <w:top w:val="nil"/>
            </w:tcBorders>
            <w:vAlign w:val="top"/>
          </w:tcPr>
          <w:p w14:paraId="66C20B18">
            <w:pPr>
              <w:rPr>
                <w:rFonts w:ascii="Arial"/>
                <w:sz w:val="21"/>
              </w:rPr>
            </w:pPr>
          </w:p>
        </w:tc>
        <w:tc>
          <w:tcPr>
            <w:tcW w:w="990" w:type="dxa"/>
            <w:vAlign w:val="top"/>
          </w:tcPr>
          <w:p w14:paraId="51F5DB83">
            <w:pPr>
              <w:spacing w:before="5" w:line="92" w:lineRule="exact"/>
              <w:ind w:left="271"/>
              <w:rPr>
                <w:rFonts w:ascii="宋体" w:hAnsi="宋体" w:eastAsia="宋体" w:cs="宋体"/>
                <w:sz w:val="7"/>
                <w:szCs w:val="7"/>
              </w:rPr>
            </w:pPr>
            <w:r>
              <w:rPr>
                <w:rFonts w:ascii="宋体" w:hAnsi="宋体" w:eastAsia="宋体" w:cs="宋体"/>
                <w:color w:val="333333"/>
                <w:spacing w:val="9"/>
                <w:w w:val="118"/>
                <w:sz w:val="7"/>
                <w:szCs w:val="7"/>
              </w:rPr>
              <w:t>宁</w:t>
            </w:r>
            <w:r>
              <w:rPr>
                <w:rFonts w:ascii="宋体" w:hAnsi="宋体" w:eastAsia="宋体" w:cs="宋体"/>
                <w:color w:val="333333"/>
                <w:spacing w:val="3"/>
                <w:sz w:val="7"/>
                <w:szCs w:val="7"/>
              </w:rPr>
              <w:t xml:space="preserve">  </w:t>
            </w:r>
            <w:r>
              <w:rPr>
                <w:rFonts w:ascii="宋体" w:hAnsi="宋体" w:eastAsia="宋体" w:cs="宋体"/>
                <w:color w:val="333333"/>
                <w:spacing w:val="9"/>
                <w:w w:val="118"/>
                <w:sz w:val="7"/>
                <w:szCs w:val="7"/>
              </w:rPr>
              <w:t>市</w:t>
            </w:r>
          </w:p>
        </w:tc>
        <w:tc>
          <w:tcPr>
            <w:tcW w:w="991" w:type="dxa"/>
            <w:vMerge w:val="continue"/>
            <w:tcBorders>
              <w:top w:val="nil"/>
            </w:tcBorders>
            <w:vAlign w:val="top"/>
          </w:tcPr>
          <w:p w14:paraId="2D2AD71D">
            <w:pPr>
              <w:rPr>
                <w:rFonts w:ascii="Arial"/>
                <w:sz w:val="21"/>
              </w:rPr>
            </w:pPr>
          </w:p>
        </w:tc>
        <w:tc>
          <w:tcPr>
            <w:tcW w:w="990" w:type="dxa"/>
            <w:vMerge w:val="continue"/>
            <w:tcBorders>
              <w:top w:val="nil"/>
            </w:tcBorders>
            <w:vAlign w:val="top"/>
          </w:tcPr>
          <w:p w14:paraId="517BF28F">
            <w:pPr>
              <w:rPr>
                <w:rFonts w:ascii="Arial"/>
                <w:sz w:val="21"/>
              </w:rPr>
            </w:pPr>
          </w:p>
        </w:tc>
        <w:tc>
          <w:tcPr>
            <w:tcW w:w="1012" w:type="dxa"/>
            <w:vMerge w:val="continue"/>
            <w:tcBorders>
              <w:top w:val="nil"/>
            </w:tcBorders>
            <w:vAlign w:val="top"/>
          </w:tcPr>
          <w:p w14:paraId="33940C6A">
            <w:pPr>
              <w:rPr>
                <w:rFonts w:ascii="Arial"/>
                <w:sz w:val="21"/>
              </w:rPr>
            </w:pPr>
          </w:p>
        </w:tc>
      </w:tr>
      <w:tr w14:paraId="6E536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tcBorders>
            <w:vAlign w:val="top"/>
          </w:tcPr>
          <w:p w14:paraId="1F7CC700">
            <w:pPr>
              <w:rPr>
                <w:rFonts w:ascii="Arial"/>
                <w:sz w:val="21"/>
              </w:rPr>
            </w:pPr>
          </w:p>
        </w:tc>
        <w:tc>
          <w:tcPr>
            <w:tcW w:w="620" w:type="dxa"/>
            <w:vMerge w:val="continue"/>
            <w:tcBorders>
              <w:top w:val="nil"/>
            </w:tcBorders>
            <w:vAlign w:val="top"/>
          </w:tcPr>
          <w:p w14:paraId="1D878071">
            <w:pPr>
              <w:rPr>
                <w:rFonts w:ascii="Arial"/>
                <w:sz w:val="21"/>
              </w:rPr>
            </w:pPr>
          </w:p>
        </w:tc>
        <w:tc>
          <w:tcPr>
            <w:tcW w:w="2564" w:type="dxa"/>
            <w:vAlign w:val="top"/>
          </w:tcPr>
          <w:p w14:paraId="13C07BF8">
            <w:pPr>
              <w:spacing w:before="164" w:line="219" w:lineRule="auto"/>
              <w:ind w:left="1028"/>
              <w:rPr>
                <w:rFonts w:ascii="宋体" w:hAnsi="宋体" w:eastAsia="宋体" w:cs="宋体"/>
                <w:sz w:val="18"/>
                <w:szCs w:val="18"/>
              </w:rPr>
            </w:pPr>
            <w:r>
              <w:rPr>
                <w:rFonts w:ascii="宋体" w:hAnsi="宋体" w:eastAsia="宋体" w:cs="宋体"/>
                <w:color w:val="333333"/>
                <w:spacing w:val="-4"/>
                <w:sz w:val="18"/>
                <w:szCs w:val="18"/>
              </w:rPr>
              <w:t>三亚市</w:t>
            </w:r>
          </w:p>
        </w:tc>
        <w:tc>
          <w:tcPr>
            <w:tcW w:w="2564" w:type="dxa"/>
            <w:vAlign w:val="top"/>
          </w:tcPr>
          <w:p w14:paraId="4EDED7B1">
            <w:pPr>
              <w:spacing w:before="165" w:line="196" w:lineRule="auto"/>
              <w:ind w:left="1152"/>
              <w:rPr>
                <w:rFonts w:ascii="Arial" w:hAnsi="Arial" w:eastAsia="Arial" w:cs="Arial"/>
                <w:sz w:val="18"/>
                <w:szCs w:val="18"/>
              </w:rPr>
            </w:pPr>
            <w:r>
              <w:rPr>
                <w:rFonts w:ascii="Arial" w:hAnsi="Arial" w:eastAsia="Arial" w:cs="Arial"/>
                <w:color w:val="333333"/>
                <w:spacing w:val="-3"/>
                <w:sz w:val="18"/>
                <w:szCs w:val="18"/>
              </w:rPr>
              <w:t>600</w:t>
            </w:r>
          </w:p>
        </w:tc>
        <w:tc>
          <w:tcPr>
            <w:tcW w:w="1021" w:type="dxa"/>
            <w:vAlign w:val="top"/>
          </w:tcPr>
          <w:p w14:paraId="484923EF">
            <w:pPr>
              <w:spacing w:before="165" w:line="196" w:lineRule="auto"/>
              <w:ind w:left="371"/>
              <w:rPr>
                <w:rFonts w:ascii="Arial" w:hAnsi="Arial" w:eastAsia="Arial" w:cs="Arial"/>
                <w:sz w:val="18"/>
                <w:szCs w:val="18"/>
              </w:rPr>
            </w:pPr>
            <w:r>
              <w:rPr>
                <w:rFonts w:ascii="Arial" w:hAnsi="Arial" w:eastAsia="Arial" w:cs="Arial"/>
                <w:color w:val="333333"/>
                <w:spacing w:val="-1"/>
                <w:sz w:val="18"/>
                <w:szCs w:val="18"/>
              </w:rPr>
              <w:t>400</w:t>
            </w:r>
          </w:p>
        </w:tc>
        <w:tc>
          <w:tcPr>
            <w:tcW w:w="990" w:type="dxa"/>
            <w:vAlign w:val="top"/>
          </w:tcPr>
          <w:p w14:paraId="297A877F">
            <w:pPr>
              <w:spacing w:before="1" w:line="198" w:lineRule="auto"/>
              <w:ind w:left="254" w:right="14" w:hanging="144"/>
              <w:rPr>
                <w:rFonts w:ascii="宋体" w:hAnsi="宋体" w:eastAsia="宋体" w:cs="宋体"/>
                <w:sz w:val="18"/>
                <w:szCs w:val="18"/>
              </w:rPr>
            </w:pPr>
            <w:r>
              <w:rPr>
                <w:rFonts w:ascii="宋体" w:hAnsi="宋体" w:eastAsia="宋体" w:cs="宋体"/>
                <w:color w:val="333333"/>
                <w:spacing w:val="-12"/>
                <w:sz w:val="18"/>
                <w:szCs w:val="18"/>
              </w:rPr>
              <w:t>陵水县</w:t>
            </w:r>
            <w:r>
              <w:rPr>
                <w:rFonts w:ascii="宋体" w:hAnsi="宋体" w:eastAsia="宋体" w:cs="宋体"/>
                <w:color w:val="333333"/>
                <w:spacing w:val="3"/>
                <w:sz w:val="18"/>
                <w:szCs w:val="18"/>
              </w:rPr>
              <w:t xml:space="preserve">  </w:t>
            </w:r>
            <w:r>
              <w:rPr>
                <w:rFonts w:ascii="宋体" w:hAnsi="宋体" w:eastAsia="宋体" w:cs="宋体"/>
                <w:color w:val="333333"/>
                <w:spacing w:val="-12"/>
                <w:sz w:val="18"/>
                <w:szCs w:val="18"/>
              </w:rPr>
              <w:t>保</w:t>
            </w:r>
            <w:r>
              <w:rPr>
                <w:rFonts w:ascii="宋体" w:hAnsi="宋体" w:eastAsia="宋体" w:cs="宋体"/>
                <w:color w:val="333333"/>
                <w:spacing w:val="1"/>
                <w:sz w:val="18"/>
                <w:szCs w:val="18"/>
              </w:rPr>
              <w:t xml:space="preserve"> </w:t>
            </w:r>
            <w:r>
              <w:rPr>
                <w:rFonts w:ascii="宋体" w:hAnsi="宋体" w:eastAsia="宋体" w:cs="宋体"/>
                <w:color w:val="333333"/>
                <w:spacing w:val="-4"/>
                <w:sz w:val="18"/>
                <w:szCs w:val="18"/>
              </w:rPr>
              <w:t>三亚市</w:t>
            </w:r>
          </w:p>
        </w:tc>
        <w:tc>
          <w:tcPr>
            <w:tcW w:w="991" w:type="dxa"/>
            <w:vAlign w:val="top"/>
          </w:tcPr>
          <w:p w14:paraId="12BEB40D">
            <w:pPr>
              <w:spacing w:before="164" w:line="219" w:lineRule="auto"/>
              <w:ind w:left="295"/>
              <w:rPr>
                <w:rFonts w:ascii="宋体" w:hAnsi="宋体" w:eastAsia="宋体" w:cs="宋体"/>
                <w:sz w:val="18"/>
                <w:szCs w:val="18"/>
              </w:rPr>
            </w:pPr>
            <w:r>
              <w:rPr>
                <w:rFonts w:ascii="Arial" w:hAnsi="Arial" w:eastAsia="Arial" w:cs="Arial"/>
                <w:color w:val="333333"/>
                <w:spacing w:val="-8"/>
                <w:sz w:val="18"/>
                <w:szCs w:val="18"/>
              </w:rPr>
              <w:t>10-4</w:t>
            </w:r>
            <w:r>
              <w:rPr>
                <w:rFonts w:ascii="宋体" w:hAnsi="宋体" w:eastAsia="宋体" w:cs="宋体"/>
                <w:color w:val="333333"/>
                <w:spacing w:val="-8"/>
                <w:sz w:val="18"/>
                <w:szCs w:val="18"/>
              </w:rPr>
              <w:t>月</w:t>
            </w:r>
          </w:p>
        </w:tc>
        <w:tc>
          <w:tcPr>
            <w:tcW w:w="990" w:type="dxa"/>
            <w:vAlign w:val="top"/>
          </w:tcPr>
          <w:p w14:paraId="431C2F3E">
            <w:pPr>
              <w:spacing w:before="165" w:line="196" w:lineRule="auto"/>
              <w:ind w:left="385"/>
              <w:rPr>
                <w:rFonts w:ascii="Arial" w:hAnsi="Arial" w:eastAsia="Arial" w:cs="Arial"/>
                <w:sz w:val="18"/>
                <w:szCs w:val="18"/>
              </w:rPr>
            </w:pPr>
            <w:r>
              <w:rPr>
                <w:rFonts w:ascii="Arial" w:hAnsi="Arial" w:eastAsia="Arial" w:cs="Arial"/>
                <w:color w:val="333333"/>
                <w:spacing w:val="-4"/>
                <w:sz w:val="18"/>
                <w:szCs w:val="18"/>
              </w:rPr>
              <w:t>720</w:t>
            </w:r>
          </w:p>
        </w:tc>
        <w:tc>
          <w:tcPr>
            <w:tcW w:w="1012" w:type="dxa"/>
            <w:vAlign w:val="top"/>
          </w:tcPr>
          <w:p w14:paraId="4A4D7E9D">
            <w:pPr>
              <w:spacing w:before="165" w:line="196" w:lineRule="auto"/>
              <w:ind w:left="373"/>
              <w:rPr>
                <w:rFonts w:ascii="Arial" w:hAnsi="Arial" w:eastAsia="Arial" w:cs="Arial"/>
                <w:sz w:val="18"/>
                <w:szCs w:val="18"/>
              </w:rPr>
            </w:pPr>
            <w:r>
              <w:rPr>
                <w:rFonts w:ascii="Arial" w:hAnsi="Arial" w:eastAsia="Arial" w:cs="Arial"/>
                <w:color w:val="333333"/>
                <w:spacing w:val="-2"/>
                <w:sz w:val="18"/>
                <w:szCs w:val="18"/>
              </w:rPr>
              <w:t>480</w:t>
            </w:r>
          </w:p>
        </w:tc>
      </w:tr>
      <w:tr w14:paraId="47E95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restart"/>
            <w:tcBorders>
              <w:bottom w:val="nil"/>
            </w:tcBorders>
            <w:vAlign w:val="top"/>
          </w:tcPr>
          <w:p w14:paraId="11F63B73">
            <w:pPr>
              <w:spacing w:line="345" w:lineRule="auto"/>
              <w:rPr>
                <w:rFonts w:ascii="Arial"/>
                <w:sz w:val="21"/>
              </w:rPr>
            </w:pPr>
          </w:p>
          <w:p w14:paraId="69A7A69C">
            <w:pPr>
              <w:spacing w:before="51" w:line="197" w:lineRule="auto"/>
              <w:ind w:left="169"/>
              <w:rPr>
                <w:rFonts w:ascii="Arial" w:hAnsi="Arial" w:eastAsia="Arial" w:cs="Arial"/>
                <w:sz w:val="18"/>
                <w:szCs w:val="18"/>
              </w:rPr>
            </w:pPr>
            <w:r>
              <w:rPr>
                <w:rFonts w:ascii="Arial" w:hAnsi="Arial" w:eastAsia="Arial" w:cs="Arial"/>
                <w:color w:val="333333"/>
                <w:spacing w:val="-3"/>
                <w:sz w:val="18"/>
                <w:szCs w:val="18"/>
              </w:rPr>
              <w:t>27</w:t>
            </w:r>
          </w:p>
        </w:tc>
        <w:tc>
          <w:tcPr>
            <w:tcW w:w="620" w:type="dxa"/>
            <w:vMerge w:val="restart"/>
            <w:tcBorders>
              <w:bottom w:val="nil"/>
            </w:tcBorders>
            <w:vAlign w:val="top"/>
          </w:tcPr>
          <w:p w14:paraId="57354E2A">
            <w:pPr>
              <w:spacing w:line="332" w:lineRule="auto"/>
              <w:rPr>
                <w:rFonts w:ascii="Arial"/>
                <w:sz w:val="21"/>
              </w:rPr>
            </w:pPr>
          </w:p>
          <w:p w14:paraId="5BC69B7A">
            <w:pPr>
              <w:spacing w:before="58" w:line="220" w:lineRule="auto"/>
              <w:ind w:left="144"/>
              <w:rPr>
                <w:rFonts w:ascii="宋体" w:hAnsi="宋体" w:eastAsia="宋体" w:cs="宋体"/>
                <w:sz w:val="18"/>
                <w:szCs w:val="18"/>
              </w:rPr>
            </w:pPr>
            <w:r>
              <w:rPr>
                <w:rFonts w:ascii="宋体" w:hAnsi="宋体" w:eastAsia="宋体" w:cs="宋体"/>
                <w:color w:val="333333"/>
                <w:spacing w:val="-4"/>
                <w:sz w:val="18"/>
                <w:szCs w:val="18"/>
              </w:rPr>
              <w:t>重庆</w:t>
            </w:r>
          </w:p>
        </w:tc>
        <w:tc>
          <w:tcPr>
            <w:tcW w:w="2564" w:type="dxa"/>
            <w:vAlign w:val="top"/>
          </w:tcPr>
          <w:p w14:paraId="7C9FA011">
            <w:pPr>
              <w:spacing w:before="165" w:line="219" w:lineRule="auto"/>
              <w:ind w:left="347"/>
              <w:rPr>
                <w:rFonts w:ascii="宋体" w:hAnsi="宋体" w:eastAsia="宋体" w:cs="宋体"/>
                <w:sz w:val="18"/>
                <w:szCs w:val="18"/>
              </w:rPr>
            </w:pPr>
            <w:r>
              <w:rPr>
                <w:rFonts w:ascii="Arial" w:hAnsi="Arial" w:eastAsia="Arial" w:cs="Arial"/>
                <w:color w:val="333333"/>
                <w:spacing w:val="-3"/>
                <w:sz w:val="18"/>
                <w:szCs w:val="18"/>
              </w:rPr>
              <w:t>9</w:t>
            </w:r>
            <w:r>
              <w:rPr>
                <w:rFonts w:ascii="宋体" w:hAnsi="宋体" w:eastAsia="宋体" w:cs="宋体"/>
                <w:color w:val="333333"/>
                <w:spacing w:val="-3"/>
                <w:sz w:val="18"/>
                <w:szCs w:val="18"/>
              </w:rPr>
              <w:t>个中心城区、北部新区</w:t>
            </w:r>
          </w:p>
        </w:tc>
        <w:tc>
          <w:tcPr>
            <w:tcW w:w="2564" w:type="dxa"/>
            <w:vAlign w:val="top"/>
          </w:tcPr>
          <w:p w14:paraId="26A58068">
            <w:pPr>
              <w:spacing w:before="166"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12B5609C">
            <w:pPr>
              <w:spacing w:before="166" w:line="196" w:lineRule="auto"/>
              <w:ind w:left="386"/>
              <w:rPr>
                <w:rFonts w:ascii="Arial" w:hAnsi="Arial" w:eastAsia="Arial" w:cs="Arial"/>
                <w:sz w:val="18"/>
                <w:szCs w:val="18"/>
              </w:rPr>
            </w:pPr>
            <w:r>
              <w:rPr>
                <w:rFonts w:ascii="Arial" w:hAnsi="Arial" w:eastAsia="Arial" w:cs="Arial"/>
                <w:color w:val="333333"/>
                <w:spacing w:val="-4"/>
                <w:sz w:val="18"/>
                <w:szCs w:val="18"/>
              </w:rPr>
              <w:t>370</w:t>
            </w:r>
          </w:p>
        </w:tc>
        <w:tc>
          <w:tcPr>
            <w:tcW w:w="990" w:type="dxa"/>
            <w:vAlign w:val="top"/>
          </w:tcPr>
          <w:p w14:paraId="702F79FA">
            <w:pPr>
              <w:spacing w:line="251" w:lineRule="auto"/>
              <w:rPr>
                <w:rFonts w:ascii="Arial"/>
                <w:sz w:val="21"/>
              </w:rPr>
            </w:pPr>
          </w:p>
          <w:p w14:paraId="52936EA7">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5A5AFF71">
            <w:pPr>
              <w:spacing w:line="251" w:lineRule="auto"/>
              <w:rPr>
                <w:rFonts w:ascii="Arial"/>
                <w:sz w:val="21"/>
              </w:rPr>
            </w:pPr>
          </w:p>
          <w:p w14:paraId="12143274">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3C669A9">
            <w:pPr>
              <w:spacing w:line="251" w:lineRule="auto"/>
              <w:rPr>
                <w:rFonts w:ascii="Arial"/>
                <w:sz w:val="21"/>
              </w:rPr>
            </w:pPr>
          </w:p>
          <w:p w14:paraId="7499D930">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7D712E4D">
            <w:pPr>
              <w:spacing w:line="251" w:lineRule="auto"/>
              <w:rPr>
                <w:rFonts w:ascii="Arial"/>
                <w:sz w:val="21"/>
              </w:rPr>
            </w:pPr>
          </w:p>
          <w:p w14:paraId="25DB5C05">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15991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7EE657D1">
            <w:pPr>
              <w:rPr>
                <w:rFonts w:ascii="Arial"/>
                <w:sz w:val="21"/>
              </w:rPr>
            </w:pPr>
          </w:p>
        </w:tc>
        <w:tc>
          <w:tcPr>
            <w:tcW w:w="620" w:type="dxa"/>
            <w:vMerge w:val="continue"/>
            <w:tcBorders>
              <w:top w:val="nil"/>
            </w:tcBorders>
            <w:vAlign w:val="top"/>
          </w:tcPr>
          <w:p w14:paraId="791DF460">
            <w:pPr>
              <w:rPr>
                <w:rFonts w:ascii="Arial"/>
                <w:sz w:val="21"/>
              </w:rPr>
            </w:pPr>
          </w:p>
        </w:tc>
        <w:tc>
          <w:tcPr>
            <w:tcW w:w="2564" w:type="dxa"/>
            <w:vAlign w:val="top"/>
          </w:tcPr>
          <w:p w14:paraId="35CA6BBE">
            <w:pPr>
              <w:spacing w:before="162"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1AF6A629">
            <w:pPr>
              <w:spacing w:before="164"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Align w:val="top"/>
          </w:tcPr>
          <w:p w14:paraId="55210F81">
            <w:pPr>
              <w:spacing w:before="164"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7C032A84">
            <w:pPr>
              <w:spacing w:line="252" w:lineRule="auto"/>
              <w:rPr>
                <w:rFonts w:ascii="Arial"/>
                <w:sz w:val="21"/>
              </w:rPr>
            </w:pPr>
          </w:p>
          <w:p w14:paraId="3532CF31">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02CC098A">
            <w:pPr>
              <w:spacing w:line="252" w:lineRule="auto"/>
              <w:rPr>
                <w:rFonts w:ascii="Arial"/>
                <w:sz w:val="21"/>
              </w:rPr>
            </w:pPr>
          </w:p>
          <w:p w14:paraId="729C69EB">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91AF541">
            <w:pPr>
              <w:spacing w:line="252" w:lineRule="auto"/>
              <w:rPr>
                <w:rFonts w:ascii="Arial"/>
                <w:sz w:val="21"/>
              </w:rPr>
            </w:pPr>
          </w:p>
          <w:p w14:paraId="35635B29">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3CF76E1A">
            <w:pPr>
              <w:spacing w:line="252" w:lineRule="auto"/>
              <w:rPr>
                <w:rFonts w:ascii="Arial"/>
                <w:sz w:val="21"/>
              </w:rPr>
            </w:pPr>
          </w:p>
          <w:p w14:paraId="24DD49F6">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73014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restart"/>
            <w:tcBorders>
              <w:bottom w:val="nil"/>
            </w:tcBorders>
            <w:vAlign w:val="top"/>
          </w:tcPr>
          <w:p w14:paraId="5C329248">
            <w:pPr>
              <w:spacing w:line="249" w:lineRule="auto"/>
              <w:rPr>
                <w:rFonts w:ascii="Arial"/>
                <w:sz w:val="21"/>
              </w:rPr>
            </w:pPr>
          </w:p>
          <w:p w14:paraId="457360C1">
            <w:pPr>
              <w:spacing w:line="249" w:lineRule="auto"/>
              <w:rPr>
                <w:rFonts w:ascii="Arial"/>
                <w:sz w:val="21"/>
              </w:rPr>
            </w:pPr>
          </w:p>
          <w:p w14:paraId="26BC0203">
            <w:pPr>
              <w:spacing w:line="249" w:lineRule="auto"/>
              <w:rPr>
                <w:rFonts w:ascii="Arial"/>
                <w:sz w:val="21"/>
              </w:rPr>
            </w:pPr>
          </w:p>
          <w:p w14:paraId="5E293B10">
            <w:pPr>
              <w:spacing w:line="249" w:lineRule="auto"/>
              <w:rPr>
                <w:rFonts w:ascii="Arial"/>
                <w:sz w:val="21"/>
              </w:rPr>
            </w:pPr>
          </w:p>
          <w:p w14:paraId="5C1D8F56">
            <w:pPr>
              <w:spacing w:line="249" w:lineRule="auto"/>
              <w:rPr>
                <w:rFonts w:ascii="Arial"/>
                <w:sz w:val="21"/>
              </w:rPr>
            </w:pPr>
          </w:p>
          <w:p w14:paraId="21EB7E29">
            <w:pPr>
              <w:spacing w:line="250" w:lineRule="auto"/>
              <w:rPr>
                <w:rFonts w:ascii="Arial"/>
                <w:sz w:val="21"/>
              </w:rPr>
            </w:pPr>
          </w:p>
          <w:p w14:paraId="211E7EEC">
            <w:pPr>
              <w:spacing w:before="52" w:line="196" w:lineRule="auto"/>
              <w:ind w:left="169"/>
              <w:rPr>
                <w:rFonts w:ascii="Arial" w:hAnsi="Arial" w:eastAsia="Arial" w:cs="Arial"/>
                <w:sz w:val="18"/>
                <w:szCs w:val="18"/>
              </w:rPr>
            </w:pPr>
            <w:r>
              <w:rPr>
                <w:rFonts w:ascii="Arial" w:hAnsi="Arial" w:eastAsia="Arial" w:cs="Arial"/>
                <w:color w:val="333333"/>
                <w:spacing w:val="-3"/>
                <w:sz w:val="18"/>
                <w:szCs w:val="18"/>
              </w:rPr>
              <w:t>28</w:t>
            </w:r>
          </w:p>
        </w:tc>
        <w:tc>
          <w:tcPr>
            <w:tcW w:w="620" w:type="dxa"/>
            <w:vMerge w:val="restart"/>
            <w:tcBorders>
              <w:bottom w:val="nil"/>
            </w:tcBorders>
            <w:vAlign w:val="top"/>
          </w:tcPr>
          <w:p w14:paraId="0CF28D15">
            <w:pPr>
              <w:spacing w:line="247" w:lineRule="auto"/>
              <w:rPr>
                <w:rFonts w:ascii="Arial"/>
                <w:sz w:val="21"/>
              </w:rPr>
            </w:pPr>
          </w:p>
          <w:p w14:paraId="046E8685">
            <w:pPr>
              <w:spacing w:line="248" w:lineRule="auto"/>
              <w:rPr>
                <w:rFonts w:ascii="Arial"/>
                <w:sz w:val="21"/>
              </w:rPr>
            </w:pPr>
          </w:p>
          <w:p w14:paraId="02BAADE2">
            <w:pPr>
              <w:spacing w:line="248" w:lineRule="auto"/>
              <w:rPr>
                <w:rFonts w:ascii="Arial"/>
                <w:sz w:val="21"/>
              </w:rPr>
            </w:pPr>
          </w:p>
          <w:p w14:paraId="0DFEEC24">
            <w:pPr>
              <w:spacing w:line="248" w:lineRule="auto"/>
              <w:rPr>
                <w:rFonts w:ascii="Arial"/>
                <w:sz w:val="21"/>
              </w:rPr>
            </w:pPr>
          </w:p>
          <w:p w14:paraId="0385F0AA">
            <w:pPr>
              <w:spacing w:line="248" w:lineRule="auto"/>
              <w:rPr>
                <w:rFonts w:ascii="Arial"/>
                <w:sz w:val="21"/>
              </w:rPr>
            </w:pPr>
          </w:p>
          <w:p w14:paraId="274F63C8">
            <w:pPr>
              <w:spacing w:line="248" w:lineRule="auto"/>
              <w:rPr>
                <w:rFonts w:ascii="Arial"/>
                <w:sz w:val="21"/>
              </w:rPr>
            </w:pPr>
          </w:p>
          <w:p w14:paraId="55B99745">
            <w:pPr>
              <w:spacing w:before="59" w:line="219" w:lineRule="auto"/>
              <w:ind w:left="191"/>
              <w:rPr>
                <w:rFonts w:ascii="宋体" w:hAnsi="宋体" w:eastAsia="宋体" w:cs="宋体"/>
                <w:sz w:val="18"/>
                <w:szCs w:val="18"/>
              </w:rPr>
            </w:pPr>
            <w:r>
              <w:rPr>
                <w:rFonts w:ascii="宋体" w:hAnsi="宋体" w:eastAsia="宋体" w:cs="宋体"/>
                <w:color w:val="333333"/>
                <w:spacing w:val="-12"/>
                <w:sz w:val="18"/>
                <w:szCs w:val="18"/>
              </w:rPr>
              <w:t>四川</w:t>
            </w:r>
          </w:p>
        </w:tc>
        <w:tc>
          <w:tcPr>
            <w:tcW w:w="2564" w:type="dxa"/>
            <w:vAlign w:val="top"/>
          </w:tcPr>
          <w:p w14:paraId="30D82A00">
            <w:pPr>
              <w:spacing w:before="163" w:line="219" w:lineRule="auto"/>
              <w:ind w:left="1034"/>
              <w:rPr>
                <w:rFonts w:ascii="宋体" w:hAnsi="宋体" w:eastAsia="宋体" w:cs="宋体"/>
                <w:sz w:val="18"/>
                <w:szCs w:val="18"/>
              </w:rPr>
            </w:pPr>
            <w:r>
              <w:rPr>
                <w:rFonts w:ascii="宋体" w:hAnsi="宋体" w:eastAsia="宋体" w:cs="宋体"/>
                <w:color w:val="333333"/>
                <w:spacing w:val="-5"/>
                <w:sz w:val="18"/>
                <w:szCs w:val="18"/>
              </w:rPr>
              <w:t>成都市</w:t>
            </w:r>
          </w:p>
        </w:tc>
        <w:tc>
          <w:tcPr>
            <w:tcW w:w="2564" w:type="dxa"/>
            <w:vAlign w:val="top"/>
          </w:tcPr>
          <w:p w14:paraId="25770417">
            <w:pPr>
              <w:spacing w:before="167" w:line="196" w:lineRule="auto"/>
              <w:ind w:left="1137"/>
              <w:rPr>
                <w:rFonts w:ascii="Arial" w:hAnsi="Arial" w:eastAsia="Arial" w:cs="Arial"/>
                <w:sz w:val="18"/>
                <w:szCs w:val="18"/>
              </w:rPr>
            </w:pPr>
            <w:r>
              <w:rPr>
                <w:rFonts w:ascii="Arial" w:hAnsi="Arial" w:eastAsia="Arial" w:cs="Arial"/>
                <w:color w:val="333333"/>
                <w:spacing w:val="-1"/>
                <w:sz w:val="18"/>
                <w:szCs w:val="18"/>
              </w:rPr>
              <w:t>470</w:t>
            </w:r>
          </w:p>
        </w:tc>
        <w:tc>
          <w:tcPr>
            <w:tcW w:w="1021" w:type="dxa"/>
            <w:vAlign w:val="top"/>
          </w:tcPr>
          <w:p w14:paraId="79076B25">
            <w:pPr>
              <w:spacing w:before="167" w:line="196" w:lineRule="auto"/>
              <w:ind w:left="386"/>
              <w:rPr>
                <w:rFonts w:ascii="Arial" w:hAnsi="Arial" w:eastAsia="Arial" w:cs="Arial"/>
                <w:sz w:val="18"/>
                <w:szCs w:val="18"/>
              </w:rPr>
            </w:pPr>
            <w:r>
              <w:rPr>
                <w:rFonts w:ascii="Arial" w:hAnsi="Arial" w:eastAsia="Arial" w:cs="Arial"/>
                <w:color w:val="333333"/>
                <w:spacing w:val="-4"/>
                <w:sz w:val="18"/>
                <w:szCs w:val="18"/>
              </w:rPr>
              <w:t>370</w:t>
            </w:r>
          </w:p>
        </w:tc>
        <w:tc>
          <w:tcPr>
            <w:tcW w:w="990" w:type="dxa"/>
            <w:vAlign w:val="top"/>
          </w:tcPr>
          <w:p w14:paraId="361948C0">
            <w:pPr>
              <w:spacing w:line="252" w:lineRule="auto"/>
              <w:rPr>
                <w:rFonts w:ascii="Arial"/>
                <w:sz w:val="21"/>
              </w:rPr>
            </w:pPr>
          </w:p>
          <w:p w14:paraId="6CD0C38B">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57252D88">
            <w:pPr>
              <w:spacing w:line="252" w:lineRule="auto"/>
              <w:rPr>
                <w:rFonts w:ascii="Arial"/>
                <w:sz w:val="21"/>
              </w:rPr>
            </w:pPr>
          </w:p>
          <w:p w14:paraId="69E8A92E">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1C91548">
            <w:pPr>
              <w:spacing w:line="252" w:lineRule="auto"/>
              <w:rPr>
                <w:rFonts w:ascii="Arial"/>
                <w:sz w:val="21"/>
              </w:rPr>
            </w:pPr>
          </w:p>
          <w:p w14:paraId="3589DC0C">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76539C21">
            <w:pPr>
              <w:spacing w:line="252" w:lineRule="auto"/>
              <w:rPr>
                <w:rFonts w:ascii="Arial"/>
                <w:sz w:val="21"/>
              </w:rPr>
            </w:pPr>
          </w:p>
          <w:p w14:paraId="0281C11B">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4029B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25AA10B9">
            <w:pPr>
              <w:rPr>
                <w:rFonts w:ascii="Arial"/>
                <w:sz w:val="21"/>
              </w:rPr>
            </w:pPr>
          </w:p>
        </w:tc>
        <w:tc>
          <w:tcPr>
            <w:tcW w:w="620" w:type="dxa"/>
            <w:vMerge w:val="continue"/>
            <w:tcBorders>
              <w:top w:val="nil"/>
              <w:bottom w:val="nil"/>
            </w:tcBorders>
            <w:vAlign w:val="top"/>
          </w:tcPr>
          <w:p w14:paraId="0A8F5A46">
            <w:pPr>
              <w:rPr>
                <w:rFonts w:ascii="Arial"/>
                <w:sz w:val="21"/>
              </w:rPr>
            </w:pPr>
          </w:p>
        </w:tc>
        <w:tc>
          <w:tcPr>
            <w:tcW w:w="2564" w:type="dxa"/>
            <w:vAlign w:val="top"/>
          </w:tcPr>
          <w:p w14:paraId="6012E9F2">
            <w:pPr>
              <w:spacing w:before="163" w:line="219" w:lineRule="auto"/>
              <w:ind w:left="690"/>
              <w:rPr>
                <w:rFonts w:ascii="宋体" w:hAnsi="宋体" w:eastAsia="宋体" w:cs="宋体"/>
                <w:sz w:val="18"/>
                <w:szCs w:val="18"/>
              </w:rPr>
            </w:pPr>
            <w:r>
              <w:rPr>
                <w:rFonts w:ascii="宋体" w:hAnsi="宋体" w:eastAsia="宋体" w:cs="宋体"/>
                <w:color w:val="333333"/>
                <w:spacing w:val="-6"/>
                <w:sz w:val="18"/>
                <w:szCs w:val="18"/>
              </w:rPr>
              <w:t>阿坝州、甘孜州</w:t>
            </w:r>
          </w:p>
        </w:tc>
        <w:tc>
          <w:tcPr>
            <w:tcW w:w="2564" w:type="dxa"/>
            <w:vAlign w:val="top"/>
          </w:tcPr>
          <w:p w14:paraId="7D28F4D7">
            <w:pPr>
              <w:spacing w:before="168" w:line="196" w:lineRule="auto"/>
              <w:ind w:left="1137"/>
              <w:rPr>
                <w:rFonts w:ascii="Arial" w:hAnsi="Arial" w:eastAsia="Arial" w:cs="Arial"/>
                <w:sz w:val="18"/>
                <w:szCs w:val="18"/>
              </w:rPr>
            </w:pPr>
            <w:r>
              <w:rPr>
                <w:rFonts w:ascii="Arial" w:hAnsi="Arial" w:eastAsia="Arial" w:cs="Arial"/>
                <w:color w:val="333333"/>
                <w:spacing w:val="-1"/>
                <w:sz w:val="18"/>
                <w:szCs w:val="18"/>
              </w:rPr>
              <w:t>430</w:t>
            </w:r>
          </w:p>
        </w:tc>
        <w:tc>
          <w:tcPr>
            <w:tcW w:w="1021" w:type="dxa"/>
            <w:vAlign w:val="top"/>
          </w:tcPr>
          <w:p w14:paraId="441D3686">
            <w:pPr>
              <w:spacing w:before="168" w:line="196" w:lineRule="auto"/>
              <w:ind w:left="386"/>
              <w:rPr>
                <w:rFonts w:ascii="Arial" w:hAnsi="Arial" w:eastAsia="Arial" w:cs="Arial"/>
                <w:sz w:val="18"/>
                <w:szCs w:val="18"/>
              </w:rPr>
            </w:pPr>
            <w:r>
              <w:rPr>
                <w:rFonts w:ascii="Arial" w:hAnsi="Arial" w:eastAsia="Arial" w:cs="Arial"/>
                <w:color w:val="333333"/>
                <w:spacing w:val="-4"/>
                <w:sz w:val="18"/>
                <w:szCs w:val="18"/>
              </w:rPr>
              <w:t>330</w:t>
            </w:r>
          </w:p>
        </w:tc>
        <w:tc>
          <w:tcPr>
            <w:tcW w:w="990" w:type="dxa"/>
            <w:vAlign w:val="top"/>
          </w:tcPr>
          <w:p w14:paraId="4FF97BD9">
            <w:pPr>
              <w:spacing w:line="253" w:lineRule="auto"/>
              <w:rPr>
                <w:rFonts w:ascii="Arial"/>
                <w:sz w:val="21"/>
              </w:rPr>
            </w:pPr>
          </w:p>
          <w:p w14:paraId="4F2F24D3">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40753ECA">
            <w:pPr>
              <w:spacing w:line="253" w:lineRule="auto"/>
              <w:rPr>
                <w:rFonts w:ascii="Arial"/>
                <w:sz w:val="21"/>
              </w:rPr>
            </w:pPr>
          </w:p>
          <w:p w14:paraId="76325BFA">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6A3302C">
            <w:pPr>
              <w:spacing w:line="253" w:lineRule="auto"/>
              <w:rPr>
                <w:rFonts w:ascii="Arial"/>
                <w:sz w:val="21"/>
              </w:rPr>
            </w:pPr>
          </w:p>
          <w:p w14:paraId="70E68994">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7B084816">
            <w:pPr>
              <w:spacing w:line="253" w:lineRule="auto"/>
              <w:rPr>
                <w:rFonts w:ascii="Arial"/>
                <w:sz w:val="21"/>
              </w:rPr>
            </w:pPr>
          </w:p>
          <w:p w14:paraId="08968652">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468E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546B6294">
            <w:pPr>
              <w:rPr>
                <w:rFonts w:ascii="Arial"/>
                <w:sz w:val="21"/>
              </w:rPr>
            </w:pPr>
          </w:p>
        </w:tc>
        <w:tc>
          <w:tcPr>
            <w:tcW w:w="620" w:type="dxa"/>
            <w:vMerge w:val="continue"/>
            <w:tcBorders>
              <w:top w:val="nil"/>
              <w:bottom w:val="nil"/>
            </w:tcBorders>
            <w:vAlign w:val="top"/>
          </w:tcPr>
          <w:p w14:paraId="39C11D06">
            <w:pPr>
              <w:rPr>
                <w:rFonts w:ascii="Arial"/>
                <w:sz w:val="21"/>
              </w:rPr>
            </w:pPr>
          </w:p>
        </w:tc>
        <w:tc>
          <w:tcPr>
            <w:tcW w:w="2564" w:type="dxa"/>
            <w:vAlign w:val="top"/>
          </w:tcPr>
          <w:p w14:paraId="0B9F5263">
            <w:pPr>
              <w:spacing w:before="168" w:line="219" w:lineRule="auto"/>
              <w:ind w:left="318"/>
              <w:rPr>
                <w:rFonts w:ascii="宋体" w:hAnsi="宋体" w:eastAsia="宋体" w:cs="宋体"/>
                <w:sz w:val="18"/>
                <w:szCs w:val="18"/>
              </w:rPr>
            </w:pPr>
            <w:r>
              <w:rPr>
                <w:rFonts w:ascii="宋体" w:hAnsi="宋体" w:eastAsia="宋体" w:cs="宋体"/>
                <w:color w:val="333333"/>
                <w:spacing w:val="-3"/>
                <w:sz w:val="18"/>
                <w:szCs w:val="18"/>
              </w:rPr>
              <w:t>绵阳市、乐山市、雅安市</w:t>
            </w:r>
          </w:p>
        </w:tc>
        <w:tc>
          <w:tcPr>
            <w:tcW w:w="2564" w:type="dxa"/>
            <w:vAlign w:val="top"/>
          </w:tcPr>
          <w:p w14:paraId="579B7202">
            <w:pPr>
              <w:spacing w:before="169" w:line="196" w:lineRule="auto"/>
              <w:ind w:left="1137"/>
              <w:rPr>
                <w:rFonts w:ascii="Arial" w:hAnsi="Arial" w:eastAsia="Arial" w:cs="Arial"/>
                <w:sz w:val="18"/>
                <w:szCs w:val="18"/>
              </w:rPr>
            </w:pPr>
            <w:r>
              <w:rPr>
                <w:rFonts w:ascii="Arial" w:hAnsi="Arial" w:eastAsia="Arial" w:cs="Arial"/>
                <w:color w:val="333333"/>
                <w:spacing w:val="-1"/>
                <w:sz w:val="18"/>
                <w:szCs w:val="18"/>
              </w:rPr>
              <w:t>430</w:t>
            </w:r>
          </w:p>
        </w:tc>
        <w:tc>
          <w:tcPr>
            <w:tcW w:w="1021" w:type="dxa"/>
            <w:vAlign w:val="top"/>
          </w:tcPr>
          <w:p w14:paraId="103A8371">
            <w:pPr>
              <w:spacing w:before="169" w:line="196" w:lineRule="auto"/>
              <w:ind w:left="386"/>
              <w:rPr>
                <w:rFonts w:ascii="Arial" w:hAnsi="Arial" w:eastAsia="Arial" w:cs="Arial"/>
                <w:sz w:val="18"/>
                <w:szCs w:val="18"/>
              </w:rPr>
            </w:pPr>
            <w:r>
              <w:rPr>
                <w:rFonts w:ascii="Arial" w:hAnsi="Arial" w:eastAsia="Arial" w:cs="Arial"/>
                <w:color w:val="333333"/>
                <w:spacing w:val="-4"/>
                <w:sz w:val="18"/>
                <w:szCs w:val="18"/>
              </w:rPr>
              <w:t>320</w:t>
            </w:r>
          </w:p>
        </w:tc>
        <w:tc>
          <w:tcPr>
            <w:tcW w:w="990" w:type="dxa"/>
            <w:vAlign w:val="top"/>
          </w:tcPr>
          <w:p w14:paraId="227639EC">
            <w:pPr>
              <w:spacing w:line="254" w:lineRule="auto"/>
              <w:rPr>
                <w:rFonts w:ascii="Arial"/>
                <w:sz w:val="21"/>
              </w:rPr>
            </w:pPr>
          </w:p>
          <w:p w14:paraId="0ED253B4">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3F874089">
            <w:pPr>
              <w:spacing w:line="254" w:lineRule="auto"/>
              <w:rPr>
                <w:rFonts w:ascii="Arial"/>
                <w:sz w:val="21"/>
              </w:rPr>
            </w:pPr>
          </w:p>
          <w:p w14:paraId="45BD5E40">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4EEF4857">
            <w:pPr>
              <w:spacing w:line="254" w:lineRule="auto"/>
              <w:rPr>
                <w:rFonts w:ascii="Arial"/>
                <w:sz w:val="21"/>
              </w:rPr>
            </w:pPr>
          </w:p>
          <w:p w14:paraId="1091451F">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5D7C76BA">
            <w:pPr>
              <w:spacing w:line="254" w:lineRule="auto"/>
              <w:rPr>
                <w:rFonts w:ascii="Arial"/>
                <w:sz w:val="21"/>
              </w:rPr>
            </w:pPr>
          </w:p>
          <w:p w14:paraId="686C9216">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4A6D9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6FA16F9C">
            <w:pPr>
              <w:rPr>
                <w:rFonts w:ascii="Arial"/>
                <w:sz w:val="21"/>
              </w:rPr>
            </w:pPr>
          </w:p>
        </w:tc>
        <w:tc>
          <w:tcPr>
            <w:tcW w:w="620" w:type="dxa"/>
            <w:vMerge w:val="continue"/>
            <w:tcBorders>
              <w:top w:val="nil"/>
              <w:bottom w:val="nil"/>
            </w:tcBorders>
            <w:vAlign w:val="top"/>
          </w:tcPr>
          <w:p w14:paraId="7D3C1588">
            <w:pPr>
              <w:rPr>
                <w:rFonts w:ascii="Arial"/>
                <w:sz w:val="21"/>
              </w:rPr>
            </w:pPr>
          </w:p>
        </w:tc>
        <w:tc>
          <w:tcPr>
            <w:tcW w:w="2564" w:type="dxa"/>
            <w:vAlign w:val="top"/>
          </w:tcPr>
          <w:p w14:paraId="05185B96">
            <w:pPr>
              <w:spacing w:before="169" w:line="219" w:lineRule="auto"/>
              <w:ind w:left="1039"/>
              <w:rPr>
                <w:rFonts w:ascii="宋体" w:hAnsi="宋体" w:eastAsia="宋体" w:cs="宋体"/>
                <w:sz w:val="18"/>
                <w:szCs w:val="18"/>
              </w:rPr>
            </w:pPr>
            <w:r>
              <w:rPr>
                <w:rFonts w:ascii="宋体" w:hAnsi="宋体" w:eastAsia="宋体" w:cs="宋体"/>
                <w:color w:val="333333"/>
                <w:spacing w:val="-6"/>
                <w:sz w:val="18"/>
                <w:szCs w:val="18"/>
              </w:rPr>
              <w:t>宜宾市</w:t>
            </w:r>
          </w:p>
        </w:tc>
        <w:tc>
          <w:tcPr>
            <w:tcW w:w="2564" w:type="dxa"/>
            <w:vAlign w:val="top"/>
          </w:tcPr>
          <w:p w14:paraId="0D81B6F7">
            <w:pPr>
              <w:spacing w:before="170" w:line="196" w:lineRule="auto"/>
              <w:ind w:left="1137"/>
              <w:rPr>
                <w:rFonts w:ascii="Arial" w:hAnsi="Arial" w:eastAsia="Arial" w:cs="Arial"/>
                <w:sz w:val="18"/>
                <w:szCs w:val="18"/>
              </w:rPr>
            </w:pPr>
            <w:r>
              <w:rPr>
                <w:rFonts w:ascii="Arial" w:hAnsi="Arial" w:eastAsia="Arial" w:cs="Arial"/>
                <w:color w:val="333333"/>
                <w:spacing w:val="-1"/>
                <w:sz w:val="18"/>
                <w:szCs w:val="18"/>
              </w:rPr>
              <w:t>430</w:t>
            </w:r>
          </w:p>
        </w:tc>
        <w:tc>
          <w:tcPr>
            <w:tcW w:w="1021" w:type="dxa"/>
            <w:vAlign w:val="top"/>
          </w:tcPr>
          <w:p w14:paraId="5C956E95">
            <w:pPr>
              <w:spacing w:before="170"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158A8C17">
            <w:pPr>
              <w:spacing w:line="255" w:lineRule="auto"/>
              <w:rPr>
                <w:rFonts w:ascii="Arial"/>
                <w:sz w:val="21"/>
              </w:rPr>
            </w:pPr>
          </w:p>
          <w:p w14:paraId="27D22ABD">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CE5DD5D">
            <w:pPr>
              <w:spacing w:line="255" w:lineRule="auto"/>
              <w:rPr>
                <w:rFonts w:ascii="Arial"/>
                <w:sz w:val="21"/>
              </w:rPr>
            </w:pPr>
          </w:p>
          <w:p w14:paraId="2D2E7D5D">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1C26F887">
            <w:pPr>
              <w:spacing w:line="255" w:lineRule="auto"/>
              <w:rPr>
                <w:rFonts w:ascii="Arial"/>
                <w:sz w:val="21"/>
              </w:rPr>
            </w:pPr>
          </w:p>
          <w:p w14:paraId="37337FE1">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70A1E972">
            <w:pPr>
              <w:spacing w:line="255" w:lineRule="auto"/>
              <w:rPr>
                <w:rFonts w:ascii="Arial"/>
                <w:sz w:val="21"/>
              </w:rPr>
            </w:pPr>
          </w:p>
          <w:p w14:paraId="56B1BA69">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03A9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20E1B74E">
            <w:pPr>
              <w:rPr>
                <w:rFonts w:ascii="Arial"/>
                <w:sz w:val="21"/>
              </w:rPr>
            </w:pPr>
          </w:p>
        </w:tc>
        <w:tc>
          <w:tcPr>
            <w:tcW w:w="620" w:type="dxa"/>
            <w:vMerge w:val="continue"/>
            <w:tcBorders>
              <w:top w:val="nil"/>
              <w:bottom w:val="nil"/>
            </w:tcBorders>
            <w:vAlign w:val="top"/>
          </w:tcPr>
          <w:p w14:paraId="34C52167">
            <w:pPr>
              <w:rPr>
                <w:rFonts w:ascii="Arial"/>
                <w:sz w:val="21"/>
              </w:rPr>
            </w:pPr>
          </w:p>
        </w:tc>
        <w:tc>
          <w:tcPr>
            <w:tcW w:w="2564" w:type="dxa"/>
            <w:vAlign w:val="top"/>
          </w:tcPr>
          <w:p w14:paraId="7B417E6E">
            <w:pPr>
              <w:spacing w:before="167" w:line="219" w:lineRule="auto"/>
              <w:ind w:left="1035"/>
              <w:rPr>
                <w:rFonts w:ascii="宋体" w:hAnsi="宋体" w:eastAsia="宋体" w:cs="宋体"/>
                <w:sz w:val="18"/>
                <w:szCs w:val="18"/>
              </w:rPr>
            </w:pPr>
            <w:r>
              <w:rPr>
                <w:rFonts w:ascii="宋体" w:hAnsi="宋体" w:eastAsia="宋体" w:cs="宋体"/>
                <w:color w:val="333333"/>
                <w:spacing w:val="-5"/>
                <w:sz w:val="18"/>
                <w:szCs w:val="18"/>
              </w:rPr>
              <w:t>凉山州</w:t>
            </w:r>
          </w:p>
        </w:tc>
        <w:tc>
          <w:tcPr>
            <w:tcW w:w="2564" w:type="dxa"/>
            <w:vAlign w:val="top"/>
          </w:tcPr>
          <w:p w14:paraId="30BA1EAD">
            <w:pPr>
              <w:spacing w:before="169" w:line="196" w:lineRule="auto"/>
              <w:ind w:left="1137"/>
              <w:rPr>
                <w:rFonts w:ascii="Arial" w:hAnsi="Arial" w:eastAsia="Arial" w:cs="Arial"/>
                <w:sz w:val="18"/>
                <w:szCs w:val="18"/>
              </w:rPr>
            </w:pPr>
            <w:r>
              <w:rPr>
                <w:rFonts w:ascii="Arial" w:hAnsi="Arial" w:eastAsia="Arial" w:cs="Arial"/>
                <w:color w:val="333333"/>
                <w:spacing w:val="-1"/>
                <w:sz w:val="18"/>
                <w:szCs w:val="18"/>
              </w:rPr>
              <w:t>430</w:t>
            </w:r>
          </w:p>
        </w:tc>
        <w:tc>
          <w:tcPr>
            <w:tcW w:w="1021" w:type="dxa"/>
            <w:vAlign w:val="top"/>
          </w:tcPr>
          <w:p w14:paraId="65370762">
            <w:pPr>
              <w:spacing w:before="169" w:line="196" w:lineRule="auto"/>
              <w:ind w:left="386"/>
              <w:rPr>
                <w:rFonts w:ascii="Arial" w:hAnsi="Arial" w:eastAsia="Arial" w:cs="Arial"/>
                <w:sz w:val="18"/>
                <w:szCs w:val="18"/>
              </w:rPr>
            </w:pPr>
            <w:r>
              <w:rPr>
                <w:rFonts w:ascii="Arial" w:hAnsi="Arial" w:eastAsia="Arial" w:cs="Arial"/>
                <w:color w:val="333333"/>
                <w:spacing w:val="-4"/>
                <w:sz w:val="18"/>
                <w:szCs w:val="18"/>
              </w:rPr>
              <w:t>330</w:t>
            </w:r>
          </w:p>
        </w:tc>
        <w:tc>
          <w:tcPr>
            <w:tcW w:w="990" w:type="dxa"/>
            <w:vAlign w:val="top"/>
          </w:tcPr>
          <w:p w14:paraId="749A0035">
            <w:pPr>
              <w:spacing w:line="257" w:lineRule="auto"/>
              <w:rPr>
                <w:rFonts w:ascii="Arial"/>
                <w:sz w:val="21"/>
              </w:rPr>
            </w:pPr>
          </w:p>
          <w:p w14:paraId="0E8107EA">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F56F19E">
            <w:pPr>
              <w:spacing w:line="257" w:lineRule="auto"/>
              <w:rPr>
                <w:rFonts w:ascii="Arial"/>
                <w:sz w:val="21"/>
              </w:rPr>
            </w:pPr>
          </w:p>
          <w:p w14:paraId="4B154C18">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28BF38FA">
            <w:pPr>
              <w:spacing w:line="257" w:lineRule="auto"/>
              <w:rPr>
                <w:rFonts w:ascii="Arial"/>
                <w:sz w:val="21"/>
              </w:rPr>
            </w:pPr>
          </w:p>
          <w:p w14:paraId="4129F66A">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42CD6D14">
            <w:pPr>
              <w:spacing w:line="257" w:lineRule="auto"/>
              <w:rPr>
                <w:rFonts w:ascii="Arial"/>
                <w:sz w:val="21"/>
              </w:rPr>
            </w:pPr>
          </w:p>
          <w:p w14:paraId="3384CF38">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159B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1E8FC440">
            <w:pPr>
              <w:rPr>
                <w:rFonts w:ascii="Arial"/>
                <w:sz w:val="21"/>
              </w:rPr>
            </w:pPr>
          </w:p>
        </w:tc>
        <w:tc>
          <w:tcPr>
            <w:tcW w:w="620" w:type="dxa"/>
            <w:vMerge w:val="continue"/>
            <w:tcBorders>
              <w:top w:val="nil"/>
              <w:bottom w:val="nil"/>
            </w:tcBorders>
            <w:vAlign w:val="top"/>
          </w:tcPr>
          <w:p w14:paraId="1065EAE6">
            <w:pPr>
              <w:rPr>
                <w:rFonts w:ascii="Arial"/>
                <w:sz w:val="21"/>
              </w:rPr>
            </w:pPr>
          </w:p>
        </w:tc>
        <w:tc>
          <w:tcPr>
            <w:tcW w:w="2564" w:type="dxa"/>
            <w:vAlign w:val="top"/>
          </w:tcPr>
          <w:p w14:paraId="70A5F852">
            <w:pPr>
              <w:spacing w:before="169" w:line="219" w:lineRule="auto"/>
              <w:ind w:left="311"/>
              <w:rPr>
                <w:rFonts w:ascii="宋体" w:hAnsi="宋体" w:eastAsia="宋体" w:cs="宋体"/>
                <w:sz w:val="18"/>
                <w:szCs w:val="18"/>
              </w:rPr>
            </w:pPr>
            <w:r>
              <w:rPr>
                <w:rFonts w:ascii="宋体" w:hAnsi="宋体" w:eastAsia="宋体" w:cs="宋体"/>
                <w:color w:val="333333"/>
                <w:spacing w:val="-3"/>
                <w:sz w:val="18"/>
                <w:szCs w:val="18"/>
              </w:rPr>
              <w:t>德阳市、遂宁市、巴中市</w:t>
            </w:r>
          </w:p>
        </w:tc>
        <w:tc>
          <w:tcPr>
            <w:tcW w:w="2564" w:type="dxa"/>
            <w:vAlign w:val="top"/>
          </w:tcPr>
          <w:p w14:paraId="5288D6DF">
            <w:pPr>
              <w:spacing w:before="173" w:line="196" w:lineRule="auto"/>
              <w:ind w:left="1137"/>
              <w:rPr>
                <w:rFonts w:ascii="Arial" w:hAnsi="Arial" w:eastAsia="Arial" w:cs="Arial"/>
                <w:sz w:val="18"/>
                <w:szCs w:val="18"/>
              </w:rPr>
            </w:pPr>
            <w:r>
              <w:rPr>
                <w:rFonts w:ascii="Arial" w:hAnsi="Arial" w:eastAsia="Arial" w:cs="Arial"/>
                <w:color w:val="333333"/>
                <w:spacing w:val="-1"/>
                <w:sz w:val="18"/>
                <w:szCs w:val="18"/>
              </w:rPr>
              <w:t>430</w:t>
            </w:r>
          </w:p>
        </w:tc>
        <w:tc>
          <w:tcPr>
            <w:tcW w:w="1021" w:type="dxa"/>
            <w:vAlign w:val="top"/>
          </w:tcPr>
          <w:p w14:paraId="796F366E">
            <w:pPr>
              <w:spacing w:before="173" w:line="196" w:lineRule="auto"/>
              <w:ind w:left="386"/>
              <w:rPr>
                <w:rFonts w:ascii="Arial" w:hAnsi="Arial" w:eastAsia="Arial" w:cs="Arial"/>
                <w:sz w:val="18"/>
                <w:szCs w:val="18"/>
              </w:rPr>
            </w:pPr>
            <w:r>
              <w:rPr>
                <w:rFonts w:ascii="Arial" w:hAnsi="Arial" w:eastAsia="Arial" w:cs="Arial"/>
                <w:color w:val="333333"/>
                <w:spacing w:val="-4"/>
                <w:sz w:val="18"/>
                <w:szCs w:val="18"/>
              </w:rPr>
              <w:t>310</w:t>
            </w:r>
          </w:p>
        </w:tc>
        <w:tc>
          <w:tcPr>
            <w:tcW w:w="990" w:type="dxa"/>
            <w:vAlign w:val="top"/>
          </w:tcPr>
          <w:p w14:paraId="03F1370A">
            <w:pPr>
              <w:spacing w:line="258" w:lineRule="auto"/>
              <w:rPr>
                <w:rFonts w:ascii="Arial"/>
                <w:sz w:val="21"/>
              </w:rPr>
            </w:pPr>
          </w:p>
          <w:p w14:paraId="1DAA0AAE">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4D457C3">
            <w:pPr>
              <w:spacing w:line="258" w:lineRule="auto"/>
              <w:rPr>
                <w:rFonts w:ascii="Arial"/>
                <w:sz w:val="21"/>
              </w:rPr>
            </w:pPr>
          </w:p>
          <w:p w14:paraId="7C8C90A8">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455ACA67">
            <w:pPr>
              <w:spacing w:line="258" w:lineRule="auto"/>
              <w:rPr>
                <w:rFonts w:ascii="Arial"/>
                <w:sz w:val="21"/>
              </w:rPr>
            </w:pPr>
          </w:p>
          <w:p w14:paraId="656983DE">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6FC47280">
            <w:pPr>
              <w:spacing w:line="258" w:lineRule="auto"/>
              <w:rPr>
                <w:rFonts w:ascii="Arial"/>
                <w:sz w:val="21"/>
              </w:rPr>
            </w:pPr>
          </w:p>
          <w:p w14:paraId="35F626A7">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54FAE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tcBorders>
            <w:vAlign w:val="top"/>
          </w:tcPr>
          <w:p w14:paraId="76A59BCE">
            <w:pPr>
              <w:rPr>
                <w:rFonts w:ascii="Arial"/>
                <w:sz w:val="21"/>
              </w:rPr>
            </w:pPr>
          </w:p>
        </w:tc>
        <w:tc>
          <w:tcPr>
            <w:tcW w:w="620" w:type="dxa"/>
            <w:vMerge w:val="continue"/>
            <w:tcBorders>
              <w:top w:val="nil"/>
            </w:tcBorders>
            <w:vAlign w:val="top"/>
          </w:tcPr>
          <w:p w14:paraId="0C2CF54E">
            <w:pPr>
              <w:rPr>
                <w:rFonts w:ascii="Arial"/>
                <w:sz w:val="21"/>
              </w:rPr>
            </w:pPr>
          </w:p>
        </w:tc>
        <w:tc>
          <w:tcPr>
            <w:tcW w:w="2564" w:type="dxa"/>
            <w:vAlign w:val="top"/>
          </w:tcPr>
          <w:p w14:paraId="1182D065">
            <w:pPr>
              <w:spacing w:before="172"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330C39BB">
            <w:pPr>
              <w:spacing w:before="174" w:line="196" w:lineRule="auto"/>
              <w:ind w:left="1137"/>
              <w:rPr>
                <w:rFonts w:ascii="Arial" w:hAnsi="Arial" w:eastAsia="Arial" w:cs="Arial"/>
                <w:sz w:val="18"/>
                <w:szCs w:val="18"/>
              </w:rPr>
            </w:pPr>
            <w:r>
              <w:rPr>
                <w:rFonts w:ascii="Arial" w:hAnsi="Arial" w:eastAsia="Arial" w:cs="Arial"/>
                <w:color w:val="333333"/>
                <w:spacing w:val="-1"/>
                <w:sz w:val="18"/>
                <w:szCs w:val="18"/>
              </w:rPr>
              <w:t>430</w:t>
            </w:r>
          </w:p>
        </w:tc>
        <w:tc>
          <w:tcPr>
            <w:tcW w:w="1021" w:type="dxa"/>
            <w:vAlign w:val="top"/>
          </w:tcPr>
          <w:p w14:paraId="211D39D3">
            <w:pPr>
              <w:spacing w:before="174"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27D8D748">
            <w:pPr>
              <w:spacing w:line="259" w:lineRule="auto"/>
              <w:rPr>
                <w:rFonts w:ascii="Arial"/>
                <w:sz w:val="21"/>
              </w:rPr>
            </w:pPr>
          </w:p>
          <w:p w14:paraId="6D861578">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05F089D">
            <w:pPr>
              <w:spacing w:line="259" w:lineRule="auto"/>
              <w:rPr>
                <w:rFonts w:ascii="Arial"/>
                <w:sz w:val="21"/>
              </w:rPr>
            </w:pPr>
          </w:p>
          <w:p w14:paraId="2BCC7DAA">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4C90371">
            <w:pPr>
              <w:spacing w:line="259" w:lineRule="auto"/>
              <w:rPr>
                <w:rFonts w:ascii="Arial"/>
                <w:sz w:val="21"/>
              </w:rPr>
            </w:pPr>
          </w:p>
          <w:p w14:paraId="3A62AEA4">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24B76E51">
            <w:pPr>
              <w:spacing w:line="259" w:lineRule="auto"/>
              <w:rPr>
                <w:rFonts w:ascii="Arial"/>
                <w:sz w:val="21"/>
              </w:rPr>
            </w:pPr>
          </w:p>
          <w:p w14:paraId="06AD1FE9">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64EA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restart"/>
            <w:tcBorders>
              <w:bottom w:val="nil"/>
            </w:tcBorders>
            <w:vAlign w:val="top"/>
          </w:tcPr>
          <w:p w14:paraId="174EA489">
            <w:pPr>
              <w:spacing w:line="354" w:lineRule="auto"/>
              <w:rPr>
                <w:rFonts w:ascii="Arial"/>
                <w:sz w:val="21"/>
              </w:rPr>
            </w:pPr>
          </w:p>
          <w:p w14:paraId="1C996A05">
            <w:pPr>
              <w:spacing w:before="52" w:line="196" w:lineRule="auto"/>
              <w:ind w:left="169"/>
              <w:rPr>
                <w:rFonts w:ascii="Arial" w:hAnsi="Arial" w:eastAsia="Arial" w:cs="Arial"/>
                <w:sz w:val="18"/>
                <w:szCs w:val="18"/>
              </w:rPr>
            </w:pPr>
            <w:r>
              <w:rPr>
                <w:rFonts w:ascii="Arial" w:hAnsi="Arial" w:eastAsia="Arial" w:cs="Arial"/>
                <w:color w:val="333333"/>
                <w:spacing w:val="-3"/>
                <w:sz w:val="18"/>
                <w:szCs w:val="18"/>
              </w:rPr>
              <w:t>29</w:t>
            </w:r>
          </w:p>
        </w:tc>
        <w:tc>
          <w:tcPr>
            <w:tcW w:w="620" w:type="dxa"/>
            <w:vMerge w:val="restart"/>
            <w:tcBorders>
              <w:bottom w:val="nil"/>
            </w:tcBorders>
            <w:vAlign w:val="top"/>
          </w:tcPr>
          <w:p w14:paraId="1B0C3959">
            <w:pPr>
              <w:spacing w:line="340" w:lineRule="auto"/>
              <w:rPr>
                <w:rFonts w:ascii="Arial"/>
                <w:sz w:val="21"/>
              </w:rPr>
            </w:pPr>
          </w:p>
          <w:p w14:paraId="1670A360">
            <w:pPr>
              <w:spacing w:before="59" w:line="219" w:lineRule="auto"/>
              <w:ind w:left="147"/>
              <w:rPr>
                <w:rFonts w:ascii="宋体" w:hAnsi="宋体" w:eastAsia="宋体" w:cs="宋体"/>
                <w:sz w:val="18"/>
                <w:szCs w:val="18"/>
              </w:rPr>
            </w:pPr>
            <w:r>
              <w:rPr>
                <w:rFonts w:ascii="宋体" w:hAnsi="宋体" w:eastAsia="宋体" w:cs="宋体"/>
                <w:color w:val="333333"/>
                <w:spacing w:val="-5"/>
                <w:sz w:val="18"/>
                <w:szCs w:val="18"/>
              </w:rPr>
              <w:t>贵州</w:t>
            </w:r>
          </w:p>
        </w:tc>
        <w:tc>
          <w:tcPr>
            <w:tcW w:w="2564" w:type="dxa"/>
            <w:vAlign w:val="top"/>
          </w:tcPr>
          <w:p w14:paraId="31A5CAEC">
            <w:pPr>
              <w:spacing w:before="174" w:line="219" w:lineRule="auto"/>
              <w:ind w:left="1035"/>
              <w:rPr>
                <w:rFonts w:ascii="宋体" w:hAnsi="宋体" w:eastAsia="宋体" w:cs="宋体"/>
                <w:sz w:val="18"/>
                <w:szCs w:val="18"/>
              </w:rPr>
            </w:pPr>
            <w:r>
              <w:rPr>
                <w:rFonts w:ascii="宋体" w:hAnsi="宋体" w:eastAsia="宋体" w:cs="宋体"/>
                <w:color w:val="333333"/>
                <w:spacing w:val="-5"/>
                <w:sz w:val="18"/>
                <w:szCs w:val="18"/>
              </w:rPr>
              <w:t>贵阳市</w:t>
            </w:r>
          </w:p>
        </w:tc>
        <w:tc>
          <w:tcPr>
            <w:tcW w:w="2564" w:type="dxa"/>
            <w:vAlign w:val="top"/>
          </w:tcPr>
          <w:p w14:paraId="76A7DC31">
            <w:pPr>
              <w:spacing w:before="175" w:line="196" w:lineRule="auto"/>
              <w:ind w:left="1137"/>
              <w:rPr>
                <w:rFonts w:ascii="Arial" w:hAnsi="Arial" w:eastAsia="Arial" w:cs="Arial"/>
                <w:sz w:val="18"/>
                <w:szCs w:val="18"/>
              </w:rPr>
            </w:pPr>
            <w:r>
              <w:rPr>
                <w:rFonts w:ascii="Arial" w:hAnsi="Arial" w:eastAsia="Arial" w:cs="Arial"/>
                <w:color w:val="333333"/>
                <w:spacing w:val="-1"/>
                <w:sz w:val="18"/>
                <w:szCs w:val="18"/>
              </w:rPr>
              <w:t>470</w:t>
            </w:r>
          </w:p>
        </w:tc>
        <w:tc>
          <w:tcPr>
            <w:tcW w:w="1021" w:type="dxa"/>
            <w:vAlign w:val="top"/>
          </w:tcPr>
          <w:p w14:paraId="53253B1A">
            <w:pPr>
              <w:spacing w:before="175" w:line="196" w:lineRule="auto"/>
              <w:ind w:left="386"/>
              <w:rPr>
                <w:rFonts w:ascii="Arial" w:hAnsi="Arial" w:eastAsia="Arial" w:cs="Arial"/>
                <w:sz w:val="18"/>
                <w:szCs w:val="18"/>
              </w:rPr>
            </w:pPr>
            <w:r>
              <w:rPr>
                <w:rFonts w:ascii="Arial" w:hAnsi="Arial" w:eastAsia="Arial" w:cs="Arial"/>
                <w:color w:val="333333"/>
                <w:spacing w:val="-4"/>
                <w:sz w:val="18"/>
                <w:szCs w:val="18"/>
              </w:rPr>
              <w:t>370</w:t>
            </w:r>
          </w:p>
        </w:tc>
        <w:tc>
          <w:tcPr>
            <w:tcW w:w="990" w:type="dxa"/>
            <w:vAlign w:val="top"/>
          </w:tcPr>
          <w:p w14:paraId="3712C257">
            <w:pPr>
              <w:spacing w:line="260" w:lineRule="auto"/>
              <w:rPr>
                <w:rFonts w:ascii="Arial"/>
                <w:sz w:val="21"/>
              </w:rPr>
            </w:pPr>
          </w:p>
          <w:p w14:paraId="2C5FCBB4">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58BAA2C2">
            <w:pPr>
              <w:spacing w:line="260" w:lineRule="auto"/>
              <w:rPr>
                <w:rFonts w:ascii="Arial"/>
                <w:sz w:val="21"/>
              </w:rPr>
            </w:pPr>
          </w:p>
          <w:p w14:paraId="0BF626C0">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9784B75">
            <w:pPr>
              <w:spacing w:line="260" w:lineRule="auto"/>
              <w:rPr>
                <w:rFonts w:ascii="Arial"/>
                <w:sz w:val="21"/>
              </w:rPr>
            </w:pPr>
          </w:p>
          <w:p w14:paraId="48A29935">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3B123B32">
            <w:pPr>
              <w:spacing w:line="260" w:lineRule="auto"/>
              <w:rPr>
                <w:rFonts w:ascii="Arial"/>
                <w:sz w:val="21"/>
              </w:rPr>
            </w:pPr>
          </w:p>
          <w:p w14:paraId="19FBE9E1">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95F6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28AE5903">
            <w:pPr>
              <w:rPr>
                <w:rFonts w:ascii="Arial"/>
                <w:sz w:val="21"/>
              </w:rPr>
            </w:pPr>
          </w:p>
        </w:tc>
        <w:tc>
          <w:tcPr>
            <w:tcW w:w="620" w:type="dxa"/>
            <w:vMerge w:val="continue"/>
            <w:tcBorders>
              <w:top w:val="nil"/>
            </w:tcBorders>
            <w:vAlign w:val="top"/>
          </w:tcPr>
          <w:p w14:paraId="612C5A2B">
            <w:pPr>
              <w:rPr>
                <w:rFonts w:ascii="Arial"/>
                <w:sz w:val="21"/>
              </w:rPr>
            </w:pPr>
          </w:p>
        </w:tc>
        <w:tc>
          <w:tcPr>
            <w:tcW w:w="2564" w:type="dxa"/>
            <w:vAlign w:val="top"/>
          </w:tcPr>
          <w:p w14:paraId="27C7CA0D">
            <w:pPr>
              <w:spacing w:before="175"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3F01B9F6">
            <w:pPr>
              <w:spacing w:before="176"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Align w:val="top"/>
          </w:tcPr>
          <w:p w14:paraId="48A81A60">
            <w:pPr>
              <w:spacing w:before="176"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7D646A26">
            <w:pPr>
              <w:spacing w:line="261" w:lineRule="auto"/>
              <w:rPr>
                <w:rFonts w:ascii="Arial"/>
                <w:sz w:val="21"/>
              </w:rPr>
            </w:pPr>
          </w:p>
          <w:p w14:paraId="0CA8A64B">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C41F6EA">
            <w:pPr>
              <w:spacing w:line="261" w:lineRule="auto"/>
              <w:rPr>
                <w:rFonts w:ascii="Arial"/>
                <w:sz w:val="21"/>
              </w:rPr>
            </w:pPr>
          </w:p>
          <w:p w14:paraId="5B2CFED5">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52114EC1">
            <w:pPr>
              <w:spacing w:line="261" w:lineRule="auto"/>
              <w:rPr>
                <w:rFonts w:ascii="Arial"/>
                <w:sz w:val="21"/>
              </w:rPr>
            </w:pPr>
          </w:p>
          <w:p w14:paraId="0F7F56AF">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657F5F0F">
            <w:pPr>
              <w:spacing w:line="261" w:lineRule="auto"/>
              <w:rPr>
                <w:rFonts w:ascii="Arial"/>
                <w:sz w:val="21"/>
              </w:rPr>
            </w:pPr>
          </w:p>
          <w:p w14:paraId="3FBA952B">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0B90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13" w:type="dxa"/>
            <w:vMerge w:val="restart"/>
            <w:tcBorders>
              <w:bottom w:val="nil"/>
            </w:tcBorders>
            <w:vAlign w:val="top"/>
          </w:tcPr>
          <w:p w14:paraId="394D78AF">
            <w:pPr>
              <w:spacing w:line="254" w:lineRule="auto"/>
              <w:rPr>
                <w:rFonts w:ascii="Arial"/>
                <w:sz w:val="21"/>
              </w:rPr>
            </w:pPr>
          </w:p>
          <w:p w14:paraId="7BAEA719">
            <w:pPr>
              <w:spacing w:line="254" w:lineRule="auto"/>
              <w:rPr>
                <w:rFonts w:ascii="Arial"/>
                <w:sz w:val="21"/>
              </w:rPr>
            </w:pPr>
          </w:p>
          <w:p w14:paraId="5B879CB3">
            <w:pPr>
              <w:spacing w:before="52" w:line="196" w:lineRule="auto"/>
              <w:ind w:left="179"/>
              <w:rPr>
                <w:rFonts w:ascii="Arial" w:hAnsi="Arial" w:eastAsia="Arial" w:cs="Arial"/>
                <w:sz w:val="18"/>
                <w:szCs w:val="18"/>
              </w:rPr>
            </w:pPr>
            <w:r>
              <w:rPr>
                <w:rFonts w:ascii="Arial" w:hAnsi="Arial" w:eastAsia="Arial" w:cs="Arial"/>
                <w:color w:val="333333"/>
                <w:spacing w:val="-4"/>
                <w:sz w:val="18"/>
                <w:szCs w:val="18"/>
              </w:rPr>
              <w:t>30</w:t>
            </w:r>
          </w:p>
        </w:tc>
        <w:tc>
          <w:tcPr>
            <w:tcW w:w="620" w:type="dxa"/>
            <w:vMerge w:val="restart"/>
            <w:tcBorders>
              <w:bottom w:val="nil"/>
            </w:tcBorders>
            <w:vAlign w:val="top"/>
          </w:tcPr>
          <w:p w14:paraId="523CB341">
            <w:pPr>
              <w:spacing w:line="247" w:lineRule="auto"/>
              <w:rPr>
                <w:rFonts w:ascii="Arial"/>
                <w:sz w:val="21"/>
              </w:rPr>
            </w:pPr>
          </w:p>
          <w:p w14:paraId="41557BCB">
            <w:pPr>
              <w:spacing w:line="248" w:lineRule="auto"/>
              <w:rPr>
                <w:rFonts w:ascii="Arial"/>
                <w:sz w:val="21"/>
              </w:rPr>
            </w:pPr>
          </w:p>
          <w:p w14:paraId="58775309">
            <w:pPr>
              <w:spacing w:before="59" w:line="221" w:lineRule="auto"/>
              <w:ind w:left="155"/>
              <w:rPr>
                <w:rFonts w:ascii="宋体" w:hAnsi="宋体" w:eastAsia="宋体" w:cs="宋体"/>
                <w:sz w:val="18"/>
                <w:szCs w:val="18"/>
              </w:rPr>
            </w:pPr>
            <w:r>
              <w:rPr>
                <w:rFonts w:ascii="宋体" w:hAnsi="宋体" w:eastAsia="宋体" w:cs="宋体"/>
                <w:color w:val="333333"/>
                <w:spacing w:val="-6"/>
                <w:sz w:val="18"/>
                <w:szCs w:val="18"/>
              </w:rPr>
              <w:t>云南</w:t>
            </w:r>
          </w:p>
        </w:tc>
        <w:tc>
          <w:tcPr>
            <w:tcW w:w="2564" w:type="dxa"/>
            <w:vAlign w:val="top"/>
          </w:tcPr>
          <w:p w14:paraId="2BE945C5">
            <w:pPr>
              <w:spacing w:before="220" w:line="219" w:lineRule="auto"/>
              <w:ind w:left="575" w:right="112" w:hanging="380"/>
              <w:rPr>
                <w:rFonts w:ascii="宋体" w:hAnsi="宋体" w:eastAsia="宋体" w:cs="宋体"/>
                <w:sz w:val="18"/>
                <w:szCs w:val="18"/>
              </w:rPr>
            </w:pPr>
            <w:r>
              <w:rPr>
                <w:rFonts w:ascii="宋体" w:hAnsi="宋体" w:eastAsia="宋体" w:cs="宋体"/>
                <w:color w:val="333333"/>
                <w:spacing w:val="-7"/>
                <w:sz w:val="18"/>
                <w:szCs w:val="18"/>
              </w:rPr>
              <w:t>昆明市、大理州、丽江市、迪</w:t>
            </w:r>
            <w:r>
              <w:rPr>
                <w:rFonts w:ascii="宋体" w:hAnsi="宋体" w:eastAsia="宋体" w:cs="宋体"/>
                <w:color w:val="333333"/>
                <w:spacing w:val="1"/>
                <w:sz w:val="18"/>
                <w:szCs w:val="18"/>
              </w:rPr>
              <w:t xml:space="preserve"> </w:t>
            </w:r>
            <w:r>
              <w:rPr>
                <w:rFonts w:ascii="宋体" w:hAnsi="宋体" w:eastAsia="宋体" w:cs="宋体"/>
                <w:color w:val="333333"/>
                <w:spacing w:val="-3"/>
                <w:sz w:val="18"/>
                <w:szCs w:val="18"/>
              </w:rPr>
              <w:t>庆州、西双版纳州</w:t>
            </w:r>
          </w:p>
        </w:tc>
        <w:tc>
          <w:tcPr>
            <w:tcW w:w="2564" w:type="dxa"/>
            <w:vAlign w:val="top"/>
          </w:tcPr>
          <w:p w14:paraId="7DD76AF0">
            <w:pPr>
              <w:spacing w:line="277" w:lineRule="auto"/>
              <w:rPr>
                <w:rFonts w:ascii="Arial"/>
                <w:sz w:val="21"/>
              </w:rPr>
            </w:pPr>
          </w:p>
          <w:p w14:paraId="600A4F6C">
            <w:pPr>
              <w:spacing w:before="51"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762F96FE">
            <w:pPr>
              <w:spacing w:line="277" w:lineRule="auto"/>
              <w:rPr>
                <w:rFonts w:ascii="Arial"/>
                <w:sz w:val="21"/>
              </w:rPr>
            </w:pPr>
          </w:p>
          <w:p w14:paraId="3DF2D767">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380</w:t>
            </w:r>
          </w:p>
        </w:tc>
        <w:tc>
          <w:tcPr>
            <w:tcW w:w="990" w:type="dxa"/>
            <w:vAlign w:val="top"/>
          </w:tcPr>
          <w:p w14:paraId="31FC6680">
            <w:pPr>
              <w:spacing w:line="417" w:lineRule="auto"/>
              <w:rPr>
                <w:rFonts w:ascii="Arial"/>
                <w:sz w:val="21"/>
              </w:rPr>
            </w:pPr>
          </w:p>
          <w:p w14:paraId="506C6892">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0C2AE36">
            <w:pPr>
              <w:spacing w:line="417" w:lineRule="auto"/>
              <w:rPr>
                <w:rFonts w:ascii="Arial"/>
                <w:sz w:val="21"/>
              </w:rPr>
            </w:pPr>
          </w:p>
          <w:p w14:paraId="7625A355">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5620D2D3">
            <w:pPr>
              <w:spacing w:line="417" w:lineRule="auto"/>
              <w:rPr>
                <w:rFonts w:ascii="Arial"/>
                <w:sz w:val="21"/>
              </w:rPr>
            </w:pPr>
          </w:p>
          <w:p w14:paraId="4A2574FA">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66238F8F">
            <w:pPr>
              <w:spacing w:line="417" w:lineRule="auto"/>
              <w:rPr>
                <w:rFonts w:ascii="Arial"/>
                <w:sz w:val="21"/>
              </w:rPr>
            </w:pPr>
          </w:p>
          <w:p w14:paraId="42E851AC">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5BDB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tcBorders>
            <w:vAlign w:val="top"/>
          </w:tcPr>
          <w:p w14:paraId="0823261C">
            <w:pPr>
              <w:rPr>
                <w:rFonts w:ascii="Arial"/>
                <w:sz w:val="21"/>
              </w:rPr>
            </w:pPr>
          </w:p>
        </w:tc>
        <w:tc>
          <w:tcPr>
            <w:tcW w:w="620" w:type="dxa"/>
            <w:vMerge w:val="continue"/>
            <w:tcBorders>
              <w:top w:val="nil"/>
            </w:tcBorders>
            <w:vAlign w:val="top"/>
          </w:tcPr>
          <w:p w14:paraId="51ED53B6">
            <w:pPr>
              <w:rPr>
                <w:rFonts w:ascii="Arial"/>
                <w:sz w:val="21"/>
              </w:rPr>
            </w:pPr>
          </w:p>
        </w:tc>
        <w:tc>
          <w:tcPr>
            <w:tcW w:w="2564" w:type="dxa"/>
            <w:vAlign w:val="top"/>
          </w:tcPr>
          <w:p w14:paraId="1B75517A">
            <w:pPr>
              <w:spacing w:before="178"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5AF36DB1">
            <w:pPr>
              <w:spacing w:before="179"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514351E9">
            <w:pPr>
              <w:spacing w:before="179" w:line="196" w:lineRule="auto"/>
              <w:ind w:left="386"/>
              <w:rPr>
                <w:rFonts w:ascii="Arial" w:hAnsi="Arial" w:eastAsia="Arial" w:cs="Arial"/>
                <w:sz w:val="18"/>
                <w:szCs w:val="18"/>
              </w:rPr>
            </w:pPr>
            <w:r>
              <w:rPr>
                <w:rFonts w:ascii="Arial" w:hAnsi="Arial" w:eastAsia="Arial" w:cs="Arial"/>
                <w:color w:val="333333"/>
                <w:spacing w:val="-4"/>
                <w:sz w:val="18"/>
                <w:szCs w:val="18"/>
              </w:rPr>
              <w:t>330</w:t>
            </w:r>
          </w:p>
        </w:tc>
        <w:tc>
          <w:tcPr>
            <w:tcW w:w="990" w:type="dxa"/>
            <w:vAlign w:val="top"/>
          </w:tcPr>
          <w:p w14:paraId="4F77E6D1">
            <w:pPr>
              <w:spacing w:line="264" w:lineRule="auto"/>
              <w:rPr>
                <w:rFonts w:ascii="Arial"/>
                <w:sz w:val="21"/>
              </w:rPr>
            </w:pPr>
          </w:p>
          <w:p w14:paraId="16A5230E">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4CE7401F">
            <w:pPr>
              <w:spacing w:line="264" w:lineRule="auto"/>
              <w:rPr>
                <w:rFonts w:ascii="Arial"/>
                <w:sz w:val="21"/>
              </w:rPr>
            </w:pPr>
          </w:p>
          <w:p w14:paraId="17E73CE5">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5EC45957">
            <w:pPr>
              <w:spacing w:line="264" w:lineRule="auto"/>
              <w:rPr>
                <w:rFonts w:ascii="Arial"/>
                <w:sz w:val="21"/>
              </w:rPr>
            </w:pPr>
          </w:p>
          <w:p w14:paraId="3129DDFC">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3547053F">
            <w:pPr>
              <w:spacing w:line="264" w:lineRule="auto"/>
              <w:rPr>
                <w:rFonts w:ascii="Arial"/>
                <w:sz w:val="21"/>
              </w:rPr>
            </w:pPr>
          </w:p>
          <w:p w14:paraId="596378AA">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5621C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restart"/>
            <w:tcBorders>
              <w:bottom w:val="nil"/>
            </w:tcBorders>
            <w:vAlign w:val="top"/>
          </w:tcPr>
          <w:p w14:paraId="216D9F66">
            <w:pPr>
              <w:spacing w:line="360" w:lineRule="auto"/>
              <w:rPr>
                <w:rFonts w:ascii="Arial"/>
                <w:sz w:val="21"/>
              </w:rPr>
            </w:pPr>
          </w:p>
          <w:p w14:paraId="22C6F9A7">
            <w:pPr>
              <w:spacing w:before="51" w:line="196" w:lineRule="auto"/>
              <w:ind w:left="179"/>
              <w:rPr>
                <w:rFonts w:ascii="Arial" w:hAnsi="Arial" w:eastAsia="Arial" w:cs="Arial"/>
                <w:sz w:val="18"/>
                <w:szCs w:val="18"/>
              </w:rPr>
            </w:pPr>
            <w:r>
              <w:rPr>
                <w:rFonts w:ascii="Arial" w:hAnsi="Arial" w:eastAsia="Arial" w:cs="Arial"/>
                <w:color w:val="333333"/>
                <w:spacing w:val="-4"/>
                <w:sz w:val="18"/>
                <w:szCs w:val="18"/>
              </w:rPr>
              <w:t>31</w:t>
            </w:r>
          </w:p>
        </w:tc>
        <w:tc>
          <w:tcPr>
            <w:tcW w:w="620" w:type="dxa"/>
            <w:vMerge w:val="restart"/>
            <w:tcBorders>
              <w:bottom w:val="nil"/>
            </w:tcBorders>
            <w:vAlign w:val="top"/>
          </w:tcPr>
          <w:p w14:paraId="745184CA">
            <w:pPr>
              <w:spacing w:line="346" w:lineRule="auto"/>
              <w:rPr>
                <w:rFonts w:ascii="Arial"/>
                <w:sz w:val="21"/>
              </w:rPr>
            </w:pPr>
          </w:p>
          <w:p w14:paraId="486AF893">
            <w:pPr>
              <w:spacing w:before="59" w:line="219" w:lineRule="auto"/>
              <w:ind w:left="154"/>
              <w:rPr>
                <w:rFonts w:ascii="宋体" w:hAnsi="宋体" w:eastAsia="宋体" w:cs="宋体"/>
                <w:sz w:val="18"/>
                <w:szCs w:val="18"/>
              </w:rPr>
            </w:pPr>
            <w:r>
              <w:rPr>
                <w:rFonts w:ascii="宋体" w:hAnsi="宋体" w:eastAsia="宋体" w:cs="宋体"/>
                <w:color w:val="333333"/>
                <w:spacing w:val="-6"/>
                <w:sz w:val="18"/>
                <w:szCs w:val="18"/>
              </w:rPr>
              <w:t>西藏</w:t>
            </w:r>
          </w:p>
        </w:tc>
        <w:tc>
          <w:tcPr>
            <w:tcW w:w="2564" w:type="dxa"/>
            <w:vAlign w:val="top"/>
          </w:tcPr>
          <w:p w14:paraId="3F04FD12">
            <w:pPr>
              <w:spacing w:before="177" w:line="219" w:lineRule="auto"/>
              <w:ind w:left="1034"/>
              <w:rPr>
                <w:rFonts w:ascii="宋体" w:hAnsi="宋体" w:eastAsia="宋体" w:cs="宋体"/>
                <w:sz w:val="18"/>
                <w:szCs w:val="18"/>
              </w:rPr>
            </w:pPr>
            <w:r>
              <w:rPr>
                <w:rFonts w:ascii="宋体" w:hAnsi="宋体" w:eastAsia="宋体" w:cs="宋体"/>
                <w:color w:val="333333"/>
                <w:spacing w:val="-5"/>
                <w:sz w:val="18"/>
                <w:szCs w:val="18"/>
              </w:rPr>
              <w:t>拉萨市</w:t>
            </w:r>
          </w:p>
        </w:tc>
        <w:tc>
          <w:tcPr>
            <w:tcW w:w="2564" w:type="dxa"/>
            <w:vAlign w:val="top"/>
          </w:tcPr>
          <w:p w14:paraId="044762A6">
            <w:pPr>
              <w:spacing w:before="178" w:line="196" w:lineRule="auto"/>
              <w:ind w:left="1155"/>
              <w:rPr>
                <w:rFonts w:ascii="Arial" w:hAnsi="Arial" w:eastAsia="Arial" w:cs="Arial"/>
                <w:sz w:val="18"/>
                <w:szCs w:val="18"/>
              </w:rPr>
            </w:pPr>
            <w:r>
              <w:rPr>
                <w:rFonts w:ascii="Arial" w:hAnsi="Arial" w:eastAsia="Arial" w:cs="Arial"/>
                <w:color w:val="333333"/>
                <w:spacing w:val="-4"/>
                <w:sz w:val="18"/>
                <w:szCs w:val="18"/>
              </w:rPr>
              <w:t>500</w:t>
            </w:r>
          </w:p>
        </w:tc>
        <w:tc>
          <w:tcPr>
            <w:tcW w:w="1021" w:type="dxa"/>
            <w:vAlign w:val="top"/>
          </w:tcPr>
          <w:p w14:paraId="4C32EB59">
            <w:pPr>
              <w:spacing w:before="178"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2E63A8F3">
            <w:pPr>
              <w:spacing w:before="177" w:line="219" w:lineRule="auto"/>
              <w:ind w:left="261"/>
              <w:rPr>
                <w:rFonts w:ascii="宋体" w:hAnsi="宋体" w:eastAsia="宋体" w:cs="宋体"/>
                <w:sz w:val="18"/>
                <w:szCs w:val="18"/>
              </w:rPr>
            </w:pPr>
            <w:r>
              <w:rPr>
                <w:rFonts w:ascii="宋体" w:hAnsi="宋体" w:eastAsia="宋体" w:cs="宋体"/>
                <w:color w:val="333333"/>
                <w:spacing w:val="-5"/>
                <w:sz w:val="18"/>
                <w:szCs w:val="18"/>
              </w:rPr>
              <w:t>拉萨市</w:t>
            </w:r>
          </w:p>
        </w:tc>
        <w:tc>
          <w:tcPr>
            <w:tcW w:w="991" w:type="dxa"/>
            <w:vAlign w:val="top"/>
          </w:tcPr>
          <w:p w14:paraId="4DE93C0B">
            <w:pPr>
              <w:spacing w:before="177" w:line="219" w:lineRule="auto"/>
              <w:ind w:left="309"/>
              <w:rPr>
                <w:rFonts w:ascii="宋体" w:hAnsi="宋体" w:eastAsia="宋体" w:cs="宋体"/>
                <w:sz w:val="18"/>
                <w:szCs w:val="18"/>
              </w:rPr>
            </w:pPr>
            <w:r>
              <w:rPr>
                <w:rFonts w:ascii="Arial" w:hAnsi="Arial" w:eastAsia="Arial" w:cs="Arial"/>
                <w:color w:val="333333"/>
                <w:spacing w:val="-3"/>
                <w:sz w:val="18"/>
                <w:szCs w:val="18"/>
              </w:rPr>
              <w:t>6-9</w:t>
            </w:r>
            <w:r>
              <w:rPr>
                <w:rFonts w:ascii="宋体" w:hAnsi="宋体" w:eastAsia="宋体" w:cs="宋体"/>
                <w:color w:val="333333"/>
                <w:spacing w:val="-3"/>
                <w:sz w:val="18"/>
                <w:szCs w:val="18"/>
              </w:rPr>
              <w:t>月</w:t>
            </w:r>
          </w:p>
        </w:tc>
        <w:tc>
          <w:tcPr>
            <w:tcW w:w="990" w:type="dxa"/>
            <w:vAlign w:val="top"/>
          </w:tcPr>
          <w:p w14:paraId="333610DF">
            <w:pPr>
              <w:spacing w:before="178" w:line="196" w:lineRule="auto"/>
              <w:ind w:left="385"/>
              <w:rPr>
                <w:rFonts w:ascii="Arial" w:hAnsi="Arial" w:eastAsia="Arial" w:cs="Arial"/>
                <w:sz w:val="18"/>
                <w:szCs w:val="18"/>
              </w:rPr>
            </w:pPr>
            <w:r>
              <w:rPr>
                <w:rFonts w:ascii="Arial" w:hAnsi="Arial" w:eastAsia="Arial" w:cs="Arial"/>
                <w:color w:val="333333"/>
                <w:spacing w:val="-4"/>
                <w:sz w:val="18"/>
                <w:szCs w:val="18"/>
              </w:rPr>
              <w:t>750</w:t>
            </w:r>
          </w:p>
        </w:tc>
        <w:tc>
          <w:tcPr>
            <w:tcW w:w="1012" w:type="dxa"/>
            <w:vAlign w:val="top"/>
          </w:tcPr>
          <w:p w14:paraId="282BC96C">
            <w:pPr>
              <w:spacing w:before="178" w:line="196" w:lineRule="auto"/>
              <w:ind w:left="387"/>
              <w:rPr>
                <w:rFonts w:ascii="Arial" w:hAnsi="Arial" w:eastAsia="Arial" w:cs="Arial"/>
                <w:sz w:val="18"/>
                <w:szCs w:val="18"/>
              </w:rPr>
            </w:pPr>
            <w:r>
              <w:rPr>
                <w:rFonts w:ascii="Arial" w:hAnsi="Arial" w:eastAsia="Arial" w:cs="Arial"/>
                <w:color w:val="333333"/>
                <w:spacing w:val="-4"/>
                <w:sz w:val="18"/>
                <w:szCs w:val="18"/>
              </w:rPr>
              <w:t>530</w:t>
            </w:r>
          </w:p>
        </w:tc>
      </w:tr>
      <w:tr w14:paraId="1134B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602A9808">
            <w:pPr>
              <w:rPr>
                <w:rFonts w:ascii="Arial"/>
                <w:sz w:val="21"/>
              </w:rPr>
            </w:pPr>
          </w:p>
        </w:tc>
        <w:tc>
          <w:tcPr>
            <w:tcW w:w="620" w:type="dxa"/>
            <w:vMerge w:val="continue"/>
            <w:tcBorders>
              <w:top w:val="nil"/>
            </w:tcBorders>
            <w:vAlign w:val="top"/>
          </w:tcPr>
          <w:p w14:paraId="7FDDFB06">
            <w:pPr>
              <w:rPr>
                <w:rFonts w:ascii="Arial"/>
                <w:sz w:val="21"/>
              </w:rPr>
            </w:pPr>
          </w:p>
        </w:tc>
        <w:tc>
          <w:tcPr>
            <w:tcW w:w="2564" w:type="dxa"/>
            <w:vAlign w:val="top"/>
          </w:tcPr>
          <w:p w14:paraId="7F61FA29">
            <w:pPr>
              <w:spacing w:before="178"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7A3688A0">
            <w:pPr>
              <w:spacing w:before="182" w:line="196" w:lineRule="auto"/>
              <w:ind w:left="1137"/>
              <w:rPr>
                <w:rFonts w:ascii="Arial" w:hAnsi="Arial" w:eastAsia="Arial" w:cs="Arial"/>
                <w:sz w:val="18"/>
                <w:szCs w:val="18"/>
              </w:rPr>
            </w:pPr>
            <w:r>
              <w:rPr>
                <w:rFonts w:ascii="Arial" w:hAnsi="Arial" w:eastAsia="Arial" w:cs="Arial"/>
                <w:color w:val="333333"/>
                <w:spacing w:val="-1"/>
                <w:sz w:val="18"/>
                <w:szCs w:val="18"/>
              </w:rPr>
              <w:t>400</w:t>
            </w:r>
          </w:p>
        </w:tc>
        <w:tc>
          <w:tcPr>
            <w:tcW w:w="1021" w:type="dxa"/>
            <w:vAlign w:val="top"/>
          </w:tcPr>
          <w:p w14:paraId="149CD508">
            <w:pPr>
              <w:spacing w:before="182"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259B4BDF">
            <w:pPr>
              <w:spacing w:before="178" w:line="220" w:lineRule="auto"/>
              <w:ind w:left="169"/>
              <w:rPr>
                <w:rFonts w:ascii="宋体" w:hAnsi="宋体" w:eastAsia="宋体" w:cs="宋体"/>
                <w:sz w:val="18"/>
                <w:szCs w:val="18"/>
              </w:rPr>
            </w:pPr>
            <w:r>
              <w:rPr>
                <w:rFonts w:ascii="宋体" w:hAnsi="宋体" w:eastAsia="宋体" w:cs="宋体"/>
                <w:color w:val="333333"/>
                <w:spacing w:val="-4"/>
                <w:sz w:val="18"/>
                <w:szCs w:val="18"/>
              </w:rPr>
              <w:t>其他地区</w:t>
            </w:r>
          </w:p>
        </w:tc>
        <w:tc>
          <w:tcPr>
            <w:tcW w:w="991" w:type="dxa"/>
            <w:vAlign w:val="top"/>
          </w:tcPr>
          <w:p w14:paraId="1A21F077">
            <w:pPr>
              <w:spacing w:before="178" w:line="219" w:lineRule="auto"/>
              <w:ind w:left="309"/>
              <w:rPr>
                <w:rFonts w:ascii="宋体" w:hAnsi="宋体" w:eastAsia="宋体" w:cs="宋体"/>
                <w:sz w:val="18"/>
                <w:szCs w:val="18"/>
              </w:rPr>
            </w:pPr>
            <w:r>
              <w:rPr>
                <w:rFonts w:ascii="Arial" w:hAnsi="Arial" w:eastAsia="Arial" w:cs="Arial"/>
                <w:color w:val="333333"/>
                <w:spacing w:val="-3"/>
                <w:sz w:val="18"/>
                <w:szCs w:val="18"/>
              </w:rPr>
              <w:t>6-9</w:t>
            </w:r>
            <w:r>
              <w:rPr>
                <w:rFonts w:ascii="宋体" w:hAnsi="宋体" w:eastAsia="宋体" w:cs="宋体"/>
                <w:color w:val="333333"/>
                <w:spacing w:val="-3"/>
                <w:sz w:val="18"/>
                <w:szCs w:val="18"/>
              </w:rPr>
              <w:t>月</w:t>
            </w:r>
          </w:p>
        </w:tc>
        <w:tc>
          <w:tcPr>
            <w:tcW w:w="990" w:type="dxa"/>
            <w:vAlign w:val="top"/>
          </w:tcPr>
          <w:p w14:paraId="71B492E6">
            <w:pPr>
              <w:spacing w:before="182" w:line="196" w:lineRule="auto"/>
              <w:ind w:left="384"/>
              <w:rPr>
                <w:rFonts w:ascii="Arial" w:hAnsi="Arial" w:eastAsia="Arial" w:cs="Arial"/>
                <w:sz w:val="18"/>
                <w:szCs w:val="18"/>
              </w:rPr>
            </w:pPr>
            <w:r>
              <w:rPr>
                <w:rFonts w:ascii="Arial" w:hAnsi="Arial" w:eastAsia="Arial" w:cs="Arial"/>
                <w:color w:val="333333"/>
                <w:spacing w:val="-4"/>
                <w:sz w:val="18"/>
                <w:szCs w:val="18"/>
              </w:rPr>
              <w:t>500</w:t>
            </w:r>
          </w:p>
        </w:tc>
        <w:tc>
          <w:tcPr>
            <w:tcW w:w="1012" w:type="dxa"/>
            <w:vAlign w:val="top"/>
          </w:tcPr>
          <w:p w14:paraId="3856B87D">
            <w:pPr>
              <w:spacing w:before="182" w:line="196" w:lineRule="auto"/>
              <w:ind w:left="387"/>
              <w:rPr>
                <w:rFonts w:ascii="Arial" w:hAnsi="Arial" w:eastAsia="Arial" w:cs="Arial"/>
                <w:sz w:val="18"/>
                <w:szCs w:val="18"/>
              </w:rPr>
            </w:pPr>
            <w:r>
              <w:rPr>
                <w:rFonts w:ascii="Arial" w:hAnsi="Arial" w:eastAsia="Arial" w:cs="Arial"/>
                <w:color w:val="333333"/>
                <w:spacing w:val="-4"/>
                <w:sz w:val="18"/>
                <w:szCs w:val="18"/>
              </w:rPr>
              <w:t>350</w:t>
            </w:r>
          </w:p>
        </w:tc>
      </w:tr>
      <w:tr w14:paraId="2A6B4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restart"/>
            <w:tcBorders>
              <w:bottom w:val="nil"/>
            </w:tcBorders>
            <w:vAlign w:val="top"/>
          </w:tcPr>
          <w:p w14:paraId="63DF0EFD">
            <w:pPr>
              <w:spacing w:line="255" w:lineRule="auto"/>
              <w:rPr>
                <w:rFonts w:ascii="Arial"/>
                <w:sz w:val="21"/>
              </w:rPr>
            </w:pPr>
          </w:p>
          <w:p w14:paraId="2A07E96A">
            <w:pPr>
              <w:spacing w:line="255" w:lineRule="auto"/>
              <w:rPr>
                <w:rFonts w:ascii="Arial"/>
                <w:sz w:val="21"/>
              </w:rPr>
            </w:pPr>
          </w:p>
          <w:p w14:paraId="1E128AFC">
            <w:pPr>
              <w:spacing w:line="255" w:lineRule="auto"/>
              <w:rPr>
                <w:rFonts w:ascii="Arial"/>
                <w:sz w:val="21"/>
              </w:rPr>
            </w:pPr>
          </w:p>
          <w:p w14:paraId="4B6F416C">
            <w:pPr>
              <w:spacing w:line="256" w:lineRule="auto"/>
              <w:rPr>
                <w:rFonts w:ascii="Arial"/>
                <w:sz w:val="21"/>
              </w:rPr>
            </w:pPr>
          </w:p>
          <w:p w14:paraId="43E4B1E0">
            <w:pPr>
              <w:spacing w:line="256" w:lineRule="auto"/>
              <w:rPr>
                <w:rFonts w:ascii="Arial"/>
                <w:sz w:val="21"/>
              </w:rPr>
            </w:pPr>
          </w:p>
          <w:p w14:paraId="1A63A33F">
            <w:pPr>
              <w:spacing w:before="52" w:line="196" w:lineRule="auto"/>
              <w:ind w:left="179"/>
              <w:rPr>
                <w:rFonts w:ascii="Arial" w:hAnsi="Arial" w:eastAsia="Arial" w:cs="Arial"/>
                <w:sz w:val="18"/>
                <w:szCs w:val="18"/>
              </w:rPr>
            </w:pPr>
            <w:r>
              <w:rPr>
                <w:rFonts w:ascii="Arial" w:hAnsi="Arial" w:eastAsia="Arial" w:cs="Arial"/>
                <w:color w:val="333333"/>
                <w:spacing w:val="-4"/>
                <w:sz w:val="18"/>
                <w:szCs w:val="18"/>
              </w:rPr>
              <w:t>32</w:t>
            </w:r>
          </w:p>
        </w:tc>
        <w:tc>
          <w:tcPr>
            <w:tcW w:w="620" w:type="dxa"/>
            <w:vMerge w:val="restart"/>
            <w:tcBorders>
              <w:bottom w:val="nil"/>
            </w:tcBorders>
            <w:vAlign w:val="top"/>
          </w:tcPr>
          <w:p w14:paraId="7939F8D7">
            <w:pPr>
              <w:spacing w:line="253" w:lineRule="auto"/>
              <w:rPr>
                <w:rFonts w:ascii="Arial"/>
                <w:sz w:val="21"/>
              </w:rPr>
            </w:pPr>
          </w:p>
          <w:p w14:paraId="3E030F8E">
            <w:pPr>
              <w:spacing w:line="253" w:lineRule="auto"/>
              <w:rPr>
                <w:rFonts w:ascii="Arial"/>
                <w:sz w:val="21"/>
              </w:rPr>
            </w:pPr>
          </w:p>
          <w:p w14:paraId="3E005DB0">
            <w:pPr>
              <w:spacing w:line="254" w:lineRule="auto"/>
              <w:rPr>
                <w:rFonts w:ascii="Arial"/>
                <w:sz w:val="21"/>
              </w:rPr>
            </w:pPr>
          </w:p>
          <w:p w14:paraId="0F9BCE70">
            <w:pPr>
              <w:spacing w:line="254" w:lineRule="auto"/>
              <w:rPr>
                <w:rFonts w:ascii="Arial"/>
                <w:sz w:val="21"/>
              </w:rPr>
            </w:pPr>
          </w:p>
          <w:p w14:paraId="2AF59AEB">
            <w:pPr>
              <w:spacing w:line="254" w:lineRule="auto"/>
              <w:rPr>
                <w:rFonts w:ascii="Arial"/>
                <w:sz w:val="21"/>
              </w:rPr>
            </w:pPr>
          </w:p>
          <w:p w14:paraId="78E15F9D">
            <w:pPr>
              <w:spacing w:before="59" w:line="219" w:lineRule="auto"/>
              <w:ind w:left="183"/>
              <w:rPr>
                <w:rFonts w:ascii="宋体" w:hAnsi="宋体" w:eastAsia="宋体" w:cs="宋体"/>
                <w:sz w:val="18"/>
                <w:szCs w:val="18"/>
              </w:rPr>
            </w:pPr>
            <w:r>
              <w:rPr>
                <w:rFonts w:ascii="宋体" w:hAnsi="宋体" w:eastAsia="宋体" w:cs="宋体"/>
                <w:color w:val="333333"/>
                <w:spacing w:val="-11"/>
                <w:sz w:val="18"/>
                <w:szCs w:val="18"/>
              </w:rPr>
              <w:t>陕西</w:t>
            </w:r>
          </w:p>
        </w:tc>
        <w:tc>
          <w:tcPr>
            <w:tcW w:w="2564" w:type="dxa"/>
            <w:vAlign w:val="top"/>
          </w:tcPr>
          <w:p w14:paraId="3C6D7A31">
            <w:pPr>
              <w:spacing w:before="180" w:line="219" w:lineRule="auto"/>
              <w:ind w:left="1042"/>
              <w:rPr>
                <w:rFonts w:ascii="宋体" w:hAnsi="宋体" w:eastAsia="宋体" w:cs="宋体"/>
                <w:sz w:val="18"/>
                <w:szCs w:val="18"/>
              </w:rPr>
            </w:pPr>
            <w:r>
              <w:rPr>
                <w:rFonts w:ascii="宋体" w:hAnsi="宋体" w:eastAsia="宋体" w:cs="宋体"/>
                <w:color w:val="333333"/>
                <w:spacing w:val="-7"/>
                <w:sz w:val="18"/>
                <w:szCs w:val="18"/>
              </w:rPr>
              <w:t>西安市</w:t>
            </w:r>
          </w:p>
        </w:tc>
        <w:tc>
          <w:tcPr>
            <w:tcW w:w="2564" w:type="dxa"/>
            <w:vAlign w:val="top"/>
          </w:tcPr>
          <w:p w14:paraId="23B7B38A">
            <w:pPr>
              <w:spacing w:before="182" w:line="196" w:lineRule="auto"/>
              <w:ind w:left="1137"/>
              <w:rPr>
                <w:rFonts w:ascii="Arial" w:hAnsi="Arial" w:eastAsia="Arial" w:cs="Arial"/>
                <w:sz w:val="18"/>
                <w:szCs w:val="18"/>
              </w:rPr>
            </w:pPr>
            <w:r>
              <w:rPr>
                <w:rFonts w:ascii="Arial" w:hAnsi="Arial" w:eastAsia="Arial" w:cs="Arial"/>
                <w:color w:val="333333"/>
                <w:spacing w:val="-1"/>
                <w:sz w:val="18"/>
                <w:szCs w:val="18"/>
              </w:rPr>
              <w:t>460</w:t>
            </w:r>
          </w:p>
        </w:tc>
        <w:tc>
          <w:tcPr>
            <w:tcW w:w="1021" w:type="dxa"/>
            <w:vAlign w:val="top"/>
          </w:tcPr>
          <w:p w14:paraId="22850D53">
            <w:pPr>
              <w:spacing w:before="182"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729A426C">
            <w:pPr>
              <w:spacing w:line="267" w:lineRule="auto"/>
              <w:rPr>
                <w:rFonts w:ascii="Arial"/>
                <w:sz w:val="21"/>
              </w:rPr>
            </w:pPr>
          </w:p>
          <w:p w14:paraId="574254F3">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4BEB4A0A">
            <w:pPr>
              <w:spacing w:line="267" w:lineRule="auto"/>
              <w:rPr>
                <w:rFonts w:ascii="Arial"/>
                <w:sz w:val="21"/>
              </w:rPr>
            </w:pPr>
          </w:p>
          <w:p w14:paraId="5EF0A986">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3F2560E3">
            <w:pPr>
              <w:spacing w:line="267" w:lineRule="auto"/>
              <w:rPr>
                <w:rFonts w:ascii="Arial"/>
                <w:sz w:val="21"/>
              </w:rPr>
            </w:pPr>
          </w:p>
          <w:p w14:paraId="213A7C7C">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0D819AD2">
            <w:pPr>
              <w:spacing w:line="267" w:lineRule="auto"/>
              <w:rPr>
                <w:rFonts w:ascii="Arial"/>
                <w:sz w:val="21"/>
              </w:rPr>
            </w:pPr>
          </w:p>
          <w:p w14:paraId="313E5C03">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1ED34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79BB1EC8">
            <w:pPr>
              <w:rPr>
                <w:rFonts w:ascii="Arial"/>
                <w:sz w:val="21"/>
              </w:rPr>
            </w:pPr>
          </w:p>
        </w:tc>
        <w:tc>
          <w:tcPr>
            <w:tcW w:w="620" w:type="dxa"/>
            <w:vMerge w:val="continue"/>
            <w:tcBorders>
              <w:top w:val="nil"/>
              <w:bottom w:val="nil"/>
            </w:tcBorders>
            <w:vAlign w:val="top"/>
          </w:tcPr>
          <w:p w14:paraId="0F74391D">
            <w:pPr>
              <w:rPr>
                <w:rFonts w:ascii="Arial"/>
                <w:sz w:val="21"/>
              </w:rPr>
            </w:pPr>
          </w:p>
        </w:tc>
        <w:tc>
          <w:tcPr>
            <w:tcW w:w="2564" w:type="dxa"/>
            <w:vAlign w:val="top"/>
          </w:tcPr>
          <w:p w14:paraId="25D1CD54">
            <w:pPr>
              <w:spacing w:before="181" w:line="219" w:lineRule="auto"/>
              <w:ind w:left="668"/>
              <w:rPr>
                <w:rFonts w:ascii="宋体" w:hAnsi="宋体" w:eastAsia="宋体" w:cs="宋体"/>
                <w:sz w:val="18"/>
                <w:szCs w:val="18"/>
              </w:rPr>
            </w:pPr>
            <w:r>
              <w:rPr>
                <w:rFonts w:ascii="宋体" w:hAnsi="宋体" w:eastAsia="宋体" w:cs="宋体"/>
                <w:color w:val="333333"/>
                <w:spacing w:val="-4"/>
                <w:sz w:val="18"/>
                <w:szCs w:val="18"/>
              </w:rPr>
              <w:t>榆林市、延安市</w:t>
            </w:r>
          </w:p>
        </w:tc>
        <w:tc>
          <w:tcPr>
            <w:tcW w:w="2564" w:type="dxa"/>
            <w:vAlign w:val="top"/>
          </w:tcPr>
          <w:p w14:paraId="462B3A4A">
            <w:pPr>
              <w:spacing w:before="182" w:line="196" w:lineRule="auto"/>
              <w:ind w:left="1155"/>
              <w:rPr>
                <w:rFonts w:ascii="Arial" w:hAnsi="Arial" w:eastAsia="Arial" w:cs="Arial"/>
                <w:sz w:val="18"/>
                <w:szCs w:val="18"/>
              </w:rPr>
            </w:pPr>
            <w:r>
              <w:rPr>
                <w:rFonts w:ascii="Arial" w:hAnsi="Arial" w:eastAsia="Arial" w:cs="Arial"/>
                <w:color w:val="333333"/>
                <w:spacing w:val="-4"/>
                <w:sz w:val="18"/>
                <w:szCs w:val="18"/>
              </w:rPr>
              <w:t>350</w:t>
            </w:r>
          </w:p>
        </w:tc>
        <w:tc>
          <w:tcPr>
            <w:tcW w:w="1021" w:type="dxa"/>
            <w:vAlign w:val="top"/>
          </w:tcPr>
          <w:p w14:paraId="01CB2F78">
            <w:pPr>
              <w:spacing w:before="182"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26586896">
            <w:pPr>
              <w:spacing w:line="267" w:lineRule="auto"/>
              <w:rPr>
                <w:rFonts w:ascii="Arial"/>
                <w:sz w:val="21"/>
              </w:rPr>
            </w:pPr>
          </w:p>
          <w:p w14:paraId="19B33325">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65D1B27">
            <w:pPr>
              <w:spacing w:line="267" w:lineRule="auto"/>
              <w:rPr>
                <w:rFonts w:ascii="Arial"/>
                <w:sz w:val="21"/>
              </w:rPr>
            </w:pPr>
          </w:p>
          <w:p w14:paraId="4F0352D2">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24866775">
            <w:pPr>
              <w:spacing w:line="267" w:lineRule="auto"/>
              <w:rPr>
                <w:rFonts w:ascii="Arial"/>
                <w:sz w:val="21"/>
              </w:rPr>
            </w:pPr>
          </w:p>
          <w:p w14:paraId="42C00710">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65B1A4CD">
            <w:pPr>
              <w:spacing w:line="267" w:lineRule="auto"/>
              <w:rPr>
                <w:rFonts w:ascii="Arial"/>
                <w:sz w:val="21"/>
              </w:rPr>
            </w:pPr>
          </w:p>
          <w:p w14:paraId="621E1049">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687E9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326627C3">
            <w:pPr>
              <w:rPr>
                <w:rFonts w:ascii="Arial"/>
                <w:sz w:val="21"/>
              </w:rPr>
            </w:pPr>
          </w:p>
        </w:tc>
        <w:tc>
          <w:tcPr>
            <w:tcW w:w="620" w:type="dxa"/>
            <w:vMerge w:val="continue"/>
            <w:tcBorders>
              <w:top w:val="nil"/>
              <w:bottom w:val="nil"/>
            </w:tcBorders>
            <w:vAlign w:val="top"/>
          </w:tcPr>
          <w:p w14:paraId="2941C0ED">
            <w:pPr>
              <w:rPr>
                <w:rFonts w:ascii="Arial"/>
                <w:sz w:val="21"/>
              </w:rPr>
            </w:pPr>
          </w:p>
        </w:tc>
        <w:tc>
          <w:tcPr>
            <w:tcW w:w="2564" w:type="dxa"/>
            <w:vAlign w:val="top"/>
          </w:tcPr>
          <w:p w14:paraId="6AFCA32E">
            <w:pPr>
              <w:spacing w:before="182" w:line="219" w:lineRule="auto"/>
              <w:ind w:left="1034"/>
              <w:rPr>
                <w:rFonts w:ascii="宋体" w:hAnsi="宋体" w:eastAsia="宋体" w:cs="宋体"/>
                <w:sz w:val="18"/>
                <w:szCs w:val="18"/>
              </w:rPr>
            </w:pPr>
            <w:r>
              <w:rPr>
                <w:rFonts w:ascii="宋体" w:hAnsi="宋体" w:eastAsia="宋体" w:cs="宋体"/>
                <w:color w:val="333333"/>
                <w:spacing w:val="-5"/>
                <w:sz w:val="18"/>
                <w:szCs w:val="18"/>
              </w:rPr>
              <w:t>杨凌区</w:t>
            </w:r>
          </w:p>
        </w:tc>
        <w:tc>
          <w:tcPr>
            <w:tcW w:w="2564" w:type="dxa"/>
            <w:vAlign w:val="top"/>
          </w:tcPr>
          <w:p w14:paraId="02F0C5D5">
            <w:pPr>
              <w:spacing w:before="183" w:line="196" w:lineRule="auto"/>
              <w:ind w:left="1155"/>
              <w:rPr>
                <w:rFonts w:ascii="Arial" w:hAnsi="Arial" w:eastAsia="Arial" w:cs="Arial"/>
                <w:sz w:val="18"/>
                <w:szCs w:val="18"/>
              </w:rPr>
            </w:pPr>
            <w:r>
              <w:rPr>
                <w:rFonts w:ascii="Arial" w:hAnsi="Arial" w:eastAsia="Arial" w:cs="Arial"/>
                <w:color w:val="333333"/>
                <w:spacing w:val="-4"/>
                <w:sz w:val="18"/>
                <w:szCs w:val="18"/>
              </w:rPr>
              <w:t>320</w:t>
            </w:r>
          </w:p>
        </w:tc>
        <w:tc>
          <w:tcPr>
            <w:tcW w:w="1021" w:type="dxa"/>
            <w:vAlign w:val="top"/>
          </w:tcPr>
          <w:p w14:paraId="50279E54">
            <w:pPr>
              <w:spacing w:before="183" w:line="196" w:lineRule="auto"/>
              <w:ind w:left="381"/>
              <w:rPr>
                <w:rFonts w:ascii="Arial" w:hAnsi="Arial" w:eastAsia="Arial" w:cs="Arial"/>
                <w:sz w:val="18"/>
                <w:szCs w:val="18"/>
              </w:rPr>
            </w:pPr>
            <w:r>
              <w:rPr>
                <w:rFonts w:ascii="Arial" w:hAnsi="Arial" w:eastAsia="Arial" w:cs="Arial"/>
                <w:color w:val="333333"/>
                <w:spacing w:val="-3"/>
                <w:sz w:val="18"/>
                <w:szCs w:val="18"/>
              </w:rPr>
              <w:t>260</w:t>
            </w:r>
          </w:p>
        </w:tc>
        <w:tc>
          <w:tcPr>
            <w:tcW w:w="990" w:type="dxa"/>
            <w:vAlign w:val="top"/>
          </w:tcPr>
          <w:p w14:paraId="23748586">
            <w:pPr>
              <w:spacing w:line="268" w:lineRule="auto"/>
              <w:rPr>
                <w:rFonts w:ascii="Arial"/>
                <w:sz w:val="21"/>
              </w:rPr>
            </w:pPr>
          </w:p>
          <w:p w14:paraId="78343F59">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20B51A98">
            <w:pPr>
              <w:spacing w:line="268" w:lineRule="auto"/>
              <w:rPr>
                <w:rFonts w:ascii="Arial"/>
                <w:sz w:val="21"/>
              </w:rPr>
            </w:pPr>
          </w:p>
          <w:p w14:paraId="7EC025BB">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0E7473F1">
            <w:pPr>
              <w:spacing w:line="268" w:lineRule="auto"/>
              <w:rPr>
                <w:rFonts w:ascii="Arial"/>
                <w:sz w:val="21"/>
              </w:rPr>
            </w:pPr>
          </w:p>
          <w:p w14:paraId="5FE6B3BF">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3E47078A">
            <w:pPr>
              <w:spacing w:line="268" w:lineRule="auto"/>
              <w:rPr>
                <w:rFonts w:ascii="Arial"/>
                <w:sz w:val="21"/>
              </w:rPr>
            </w:pPr>
          </w:p>
          <w:p w14:paraId="0B338B83">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73432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bottom w:val="nil"/>
            </w:tcBorders>
            <w:vAlign w:val="top"/>
          </w:tcPr>
          <w:p w14:paraId="108D9169">
            <w:pPr>
              <w:rPr>
                <w:rFonts w:ascii="Arial"/>
                <w:sz w:val="21"/>
              </w:rPr>
            </w:pPr>
          </w:p>
        </w:tc>
        <w:tc>
          <w:tcPr>
            <w:tcW w:w="620" w:type="dxa"/>
            <w:vMerge w:val="continue"/>
            <w:tcBorders>
              <w:top w:val="nil"/>
              <w:bottom w:val="nil"/>
            </w:tcBorders>
            <w:vAlign w:val="top"/>
          </w:tcPr>
          <w:p w14:paraId="33F18AF7">
            <w:pPr>
              <w:rPr>
                <w:rFonts w:ascii="Arial"/>
                <w:sz w:val="21"/>
              </w:rPr>
            </w:pPr>
          </w:p>
        </w:tc>
        <w:tc>
          <w:tcPr>
            <w:tcW w:w="2564" w:type="dxa"/>
            <w:vAlign w:val="top"/>
          </w:tcPr>
          <w:p w14:paraId="104EAF89">
            <w:pPr>
              <w:spacing w:before="181" w:line="219" w:lineRule="auto"/>
              <w:ind w:left="668"/>
              <w:rPr>
                <w:rFonts w:ascii="宋体" w:hAnsi="宋体" w:eastAsia="宋体" w:cs="宋体"/>
                <w:sz w:val="18"/>
                <w:szCs w:val="18"/>
              </w:rPr>
            </w:pPr>
            <w:r>
              <w:rPr>
                <w:rFonts w:ascii="宋体" w:hAnsi="宋体" w:eastAsia="宋体" w:cs="宋体"/>
                <w:color w:val="333333"/>
                <w:spacing w:val="-4"/>
                <w:sz w:val="18"/>
                <w:szCs w:val="18"/>
              </w:rPr>
              <w:t>咸阳市、宝鸡市</w:t>
            </w:r>
          </w:p>
        </w:tc>
        <w:tc>
          <w:tcPr>
            <w:tcW w:w="2564" w:type="dxa"/>
            <w:vAlign w:val="top"/>
          </w:tcPr>
          <w:p w14:paraId="0ADABD40">
            <w:pPr>
              <w:spacing w:before="182" w:line="196" w:lineRule="auto"/>
              <w:ind w:left="1155"/>
              <w:rPr>
                <w:rFonts w:ascii="Arial" w:hAnsi="Arial" w:eastAsia="Arial" w:cs="Arial"/>
                <w:sz w:val="18"/>
                <w:szCs w:val="18"/>
              </w:rPr>
            </w:pPr>
            <w:r>
              <w:rPr>
                <w:rFonts w:ascii="Arial" w:hAnsi="Arial" w:eastAsia="Arial" w:cs="Arial"/>
                <w:color w:val="333333"/>
                <w:spacing w:val="-4"/>
                <w:sz w:val="18"/>
                <w:szCs w:val="18"/>
              </w:rPr>
              <w:t>320</w:t>
            </w:r>
          </w:p>
        </w:tc>
        <w:tc>
          <w:tcPr>
            <w:tcW w:w="1021" w:type="dxa"/>
            <w:vAlign w:val="top"/>
          </w:tcPr>
          <w:p w14:paraId="37D6A711">
            <w:pPr>
              <w:spacing w:before="182" w:line="196" w:lineRule="auto"/>
              <w:ind w:left="381"/>
              <w:rPr>
                <w:rFonts w:ascii="Arial" w:hAnsi="Arial" w:eastAsia="Arial" w:cs="Arial"/>
                <w:sz w:val="18"/>
                <w:szCs w:val="18"/>
              </w:rPr>
            </w:pPr>
            <w:r>
              <w:rPr>
                <w:rFonts w:ascii="Arial" w:hAnsi="Arial" w:eastAsia="Arial" w:cs="Arial"/>
                <w:color w:val="333333"/>
                <w:spacing w:val="-3"/>
                <w:sz w:val="18"/>
                <w:szCs w:val="18"/>
              </w:rPr>
              <w:t>260</w:t>
            </w:r>
          </w:p>
        </w:tc>
        <w:tc>
          <w:tcPr>
            <w:tcW w:w="990" w:type="dxa"/>
            <w:vAlign w:val="top"/>
          </w:tcPr>
          <w:p w14:paraId="1D52DDCA">
            <w:pPr>
              <w:spacing w:line="269" w:lineRule="auto"/>
              <w:rPr>
                <w:rFonts w:ascii="Arial"/>
                <w:sz w:val="21"/>
              </w:rPr>
            </w:pPr>
          </w:p>
          <w:p w14:paraId="3028B214">
            <w:pPr>
              <w:spacing w:before="52"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668A2955">
            <w:pPr>
              <w:spacing w:line="269" w:lineRule="auto"/>
              <w:rPr>
                <w:rFonts w:ascii="Arial"/>
                <w:sz w:val="21"/>
              </w:rPr>
            </w:pPr>
          </w:p>
          <w:p w14:paraId="4D6AE5D3">
            <w:pPr>
              <w:spacing w:before="52"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B92EA35">
            <w:pPr>
              <w:spacing w:line="269" w:lineRule="auto"/>
              <w:rPr>
                <w:rFonts w:ascii="Arial"/>
                <w:sz w:val="21"/>
              </w:rPr>
            </w:pPr>
          </w:p>
          <w:p w14:paraId="6C4E2A0A">
            <w:pPr>
              <w:spacing w:before="52"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3A387E13">
            <w:pPr>
              <w:spacing w:line="269" w:lineRule="auto"/>
              <w:rPr>
                <w:rFonts w:ascii="Arial"/>
                <w:sz w:val="21"/>
              </w:rPr>
            </w:pPr>
          </w:p>
          <w:p w14:paraId="7ECE0949">
            <w:pPr>
              <w:spacing w:before="52"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26C3B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13C7078B">
            <w:pPr>
              <w:rPr>
                <w:rFonts w:ascii="Arial"/>
                <w:sz w:val="21"/>
              </w:rPr>
            </w:pPr>
          </w:p>
        </w:tc>
        <w:tc>
          <w:tcPr>
            <w:tcW w:w="620" w:type="dxa"/>
            <w:vMerge w:val="continue"/>
            <w:tcBorders>
              <w:top w:val="nil"/>
              <w:bottom w:val="nil"/>
            </w:tcBorders>
            <w:vAlign w:val="top"/>
          </w:tcPr>
          <w:p w14:paraId="4A93EAF0">
            <w:pPr>
              <w:rPr>
                <w:rFonts w:ascii="Arial"/>
                <w:sz w:val="21"/>
              </w:rPr>
            </w:pPr>
          </w:p>
        </w:tc>
        <w:tc>
          <w:tcPr>
            <w:tcW w:w="2564" w:type="dxa"/>
            <w:vAlign w:val="top"/>
          </w:tcPr>
          <w:p w14:paraId="60E9B8E0">
            <w:pPr>
              <w:spacing w:before="181" w:line="219" w:lineRule="auto"/>
              <w:ind w:left="679"/>
              <w:rPr>
                <w:rFonts w:ascii="宋体" w:hAnsi="宋体" w:eastAsia="宋体" w:cs="宋体"/>
                <w:sz w:val="18"/>
                <w:szCs w:val="18"/>
              </w:rPr>
            </w:pPr>
            <w:r>
              <w:rPr>
                <w:rFonts w:ascii="宋体" w:hAnsi="宋体" w:eastAsia="宋体" w:cs="宋体"/>
                <w:color w:val="333333"/>
                <w:spacing w:val="-4"/>
                <w:sz w:val="18"/>
                <w:szCs w:val="18"/>
              </w:rPr>
              <w:t>渭南市、韩城市</w:t>
            </w:r>
          </w:p>
        </w:tc>
        <w:tc>
          <w:tcPr>
            <w:tcW w:w="2564" w:type="dxa"/>
            <w:vAlign w:val="top"/>
          </w:tcPr>
          <w:p w14:paraId="339AD799">
            <w:pPr>
              <w:spacing w:before="185" w:line="196" w:lineRule="auto"/>
              <w:ind w:left="1155"/>
              <w:rPr>
                <w:rFonts w:ascii="Arial" w:hAnsi="Arial" w:eastAsia="Arial" w:cs="Arial"/>
                <w:sz w:val="18"/>
                <w:szCs w:val="18"/>
              </w:rPr>
            </w:pPr>
            <w:r>
              <w:rPr>
                <w:rFonts w:ascii="Arial" w:hAnsi="Arial" w:eastAsia="Arial" w:cs="Arial"/>
                <w:color w:val="333333"/>
                <w:spacing w:val="-4"/>
                <w:sz w:val="18"/>
                <w:szCs w:val="18"/>
              </w:rPr>
              <w:t>300</w:t>
            </w:r>
          </w:p>
        </w:tc>
        <w:tc>
          <w:tcPr>
            <w:tcW w:w="1021" w:type="dxa"/>
            <w:vAlign w:val="top"/>
          </w:tcPr>
          <w:p w14:paraId="6671B19A">
            <w:pPr>
              <w:spacing w:before="185" w:line="196" w:lineRule="auto"/>
              <w:ind w:left="381"/>
              <w:rPr>
                <w:rFonts w:ascii="Arial" w:hAnsi="Arial" w:eastAsia="Arial" w:cs="Arial"/>
                <w:sz w:val="18"/>
                <w:szCs w:val="18"/>
              </w:rPr>
            </w:pPr>
            <w:r>
              <w:rPr>
                <w:rFonts w:ascii="Arial" w:hAnsi="Arial" w:eastAsia="Arial" w:cs="Arial"/>
                <w:color w:val="333333"/>
                <w:spacing w:val="-3"/>
                <w:sz w:val="18"/>
                <w:szCs w:val="18"/>
              </w:rPr>
              <w:t>260</w:t>
            </w:r>
          </w:p>
        </w:tc>
        <w:tc>
          <w:tcPr>
            <w:tcW w:w="990" w:type="dxa"/>
            <w:vAlign w:val="top"/>
          </w:tcPr>
          <w:p w14:paraId="47A89767">
            <w:pPr>
              <w:spacing w:line="270" w:lineRule="auto"/>
              <w:rPr>
                <w:rFonts w:ascii="Arial"/>
                <w:sz w:val="21"/>
              </w:rPr>
            </w:pPr>
          </w:p>
          <w:p w14:paraId="21BF74C2">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7FEFA2C6">
            <w:pPr>
              <w:spacing w:line="270" w:lineRule="auto"/>
              <w:rPr>
                <w:rFonts w:ascii="Arial"/>
                <w:sz w:val="21"/>
              </w:rPr>
            </w:pPr>
          </w:p>
          <w:p w14:paraId="52E7DC3D">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56138F8F">
            <w:pPr>
              <w:spacing w:line="270" w:lineRule="auto"/>
              <w:rPr>
                <w:rFonts w:ascii="Arial"/>
                <w:sz w:val="21"/>
              </w:rPr>
            </w:pPr>
          </w:p>
          <w:p w14:paraId="43A802B9">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695DD028">
            <w:pPr>
              <w:spacing w:line="270" w:lineRule="auto"/>
              <w:rPr>
                <w:rFonts w:ascii="Arial"/>
                <w:sz w:val="21"/>
              </w:rPr>
            </w:pPr>
          </w:p>
          <w:p w14:paraId="6AE1B386">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2EFEE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1265F088">
            <w:pPr>
              <w:rPr>
                <w:rFonts w:ascii="Arial"/>
                <w:sz w:val="21"/>
              </w:rPr>
            </w:pPr>
          </w:p>
        </w:tc>
        <w:tc>
          <w:tcPr>
            <w:tcW w:w="620" w:type="dxa"/>
            <w:vMerge w:val="continue"/>
            <w:tcBorders>
              <w:top w:val="nil"/>
            </w:tcBorders>
            <w:vAlign w:val="top"/>
          </w:tcPr>
          <w:p w14:paraId="26723353">
            <w:pPr>
              <w:rPr>
                <w:rFonts w:ascii="Arial"/>
                <w:sz w:val="21"/>
              </w:rPr>
            </w:pPr>
          </w:p>
        </w:tc>
        <w:tc>
          <w:tcPr>
            <w:tcW w:w="2564" w:type="dxa"/>
            <w:vAlign w:val="top"/>
          </w:tcPr>
          <w:p w14:paraId="704B0456">
            <w:pPr>
              <w:spacing w:before="184"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76E2825D">
            <w:pPr>
              <w:spacing w:before="186" w:line="196" w:lineRule="auto"/>
              <w:ind w:left="1155"/>
              <w:rPr>
                <w:rFonts w:ascii="Arial" w:hAnsi="Arial" w:eastAsia="Arial" w:cs="Arial"/>
                <w:sz w:val="18"/>
                <w:szCs w:val="18"/>
              </w:rPr>
            </w:pPr>
            <w:r>
              <w:rPr>
                <w:rFonts w:ascii="Arial" w:hAnsi="Arial" w:eastAsia="Arial" w:cs="Arial"/>
                <w:color w:val="333333"/>
                <w:spacing w:val="-4"/>
                <w:sz w:val="18"/>
                <w:szCs w:val="18"/>
              </w:rPr>
              <w:t>300</w:t>
            </w:r>
          </w:p>
        </w:tc>
        <w:tc>
          <w:tcPr>
            <w:tcW w:w="1021" w:type="dxa"/>
            <w:vAlign w:val="top"/>
          </w:tcPr>
          <w:p w14:paraId="1EF21DDC">
            <w:pPr>
              <w:spacing w:before="186" w:line="196" w:lineRule="auto"/>
              <w:ind w:left="381"/>
              <w:rPr>
                <w:rFonts w:ascii="Arial" w:hAnsi="Arial" w:eastAsia="Arial" w:cs="Arial"/>
                <w:sz w:val="18"/>
                <w:szCs w:val="18"/>
              </w:rPr>
            </w:pPr>
            <w:r>
              <w:rPr>
                <w:rFonts w:ascii="Arial" w:hAnsi="Arial" w:eastAsia="Arial" w:cs="Arial"/>
                <w:color w:val="333333"/>
                <w:spacing w:val="-3"/>
                <w:sz w:val="18"/>
                <w:szCs w:val="18"/>
              </w:rPr>
              <w:t>230</w:t>
            </w:r>
          </w:p>
        </w:tc>
        <w:tc>
          <w:tcPr>
            <w:tcW w:w="990" w:type="dxa"/>
            <w:vAlign w:val="top"/>
          </w:tcPr>
          <w:p w14:paraId="46C2A340">
            <w:pPr>
              <w:spacing w:line="271" w:lineRule="auto"/>
              <w:rPr>
                <w:rFonts w:ascii="Arial"/>
                <w:sz w:val="21"/>
              </w:rPr>
            </w:pPr>
          </w:p>
          <w:p w14:paraId="05D46FCB">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BF0BE66">
            <w:pPr>
              <w:spacing w:line="271" w:lineRule="auto"/>
              <w:rPr>
                <w:rFonts w:ascii="Arial"/>
                <w:sz w:val="21"/>
              </w:rPr>
            </w:pPr>
          </w:p>
          <w:p w14:paraId="5CC3FA35">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508726B9">
            <w:pPr>
              <w:spacing w:line="271" w:lineRule="auto"/>
              <w:rPr>
                <w:rFonts w:ascii="Arial"/>
                <w:sz w:val="21"/>
              </w:rPr>
            </w:pPr>
          </w:p>
          <w:p w14:paraId="26D59E52">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53198F27">
            <w:pPr>
              <w:spacing w:line="271" w:lineRule="auto"/>
              <w:rPr>
                <w:rFonts w:ascii="Arial"/>
                <w:sz w:val="21"/>
              </w:rPr>
            </w:pPr>
          </w:p>
          <w:p w14:paraId="7BDAA2C3">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210AC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restart"/>
            <w:tcBorders>
              <w:bottom w:val="nil"/>
            </w:tcBorders>
            <w:vAlign w:val="top"/>
          </w:tcPr>
          <w:p w14:paraId="702E6586">
            <w:pPr>
              <w:spacing w:line="365" w:lineRule="auto"/>
              <w:rPr>
                <w:rFonts w:ascii="Arial"/>
                <w:sz w:val="21"/>
              </w:rPr>
            </w:pPr>
          </w:p>
          <w:p w14:paraId="39E7DBA7">
            <w:pPr>
              <w:spacing w:before="52" w:line="196" w:lineRule="auto"/>
              <w:ind w:left="179"/>
              <w:rPr>
                <w:rFonts w:ascii="Arial" w:hAnsi="Arial" w:eastAsia="Arial" w:cs="Arial"/>
                <w:sz w:val="18"/>
                <w:szCs w:val="18"/>
              </w:rPr>
            </w:pPr>
            <w:r>
              <w:rPr>
                <w:rFonts w:ascii="Arial" w:hAnsi="Arial" w:eastAsia="Arial" w:cs="Arial"/>
                <w:color w:val="333333"/>
                <w:spacing w:val="-4"/>
                <w:sz w:val="18"/>
                <w:szCs w:val="18"/>
              </w:rPr>
              <w:t>33</w:t>
            </w:r>
          </w:p>
        </w:tc>
        <w:tc>
          <w:tcPr>
            <w:tcW w:w="620" w:type="dxa"/>
            <w:vMerge w:val="restart"/>
            <w:tcBorders>
              <w:bottom w:val="nil"/>
            </w:tcBorders>
            <w:vAlign w:val="top"/>
          </w:tcPr>
          <w:p w14:paraId="136BC38A">
            <w:pPr>
              <w:spacing w:line="351" w:lineRule="auto"/>
              <w:rPr>
                <w:rFonts w:ascii="Arial"/>
                <w:sz w:val="21"/>
              </w:rPr>
            </w:pPr>
          </w:p>
          <w:p w14:paraId="576F2696">
            <w:pPr>
              <w:spacing w:before="59" w:line="219" w:lineRule="auto"/>
              <w:ind w:left="140"/>
              <w:rPr>
                <w:rFonts w:ascii="宋体" w:hAnsi="宋体" w:eastAsia="宋体" w:cs="宋体"/>
                <w:sz w:val="18"/>
                <w:szCs w:val="18"/>
              </w:rPr>
            </w:pPr>
            <w:r>
              <w:rPr>
                <w:rFonts w:ascii="宋体" w:hAnsi="宋体" w:eastAsia="宋体" w:cs="宋体"/>
                <w:color w:val="333333"/>
                <w:spacing w:val="-4"/>
                <w:sz w:val="18"/>
                <w:szCs w:val="18"/>
              </w:rPr>
              <w:t>甘肃</w:t>
            </w:r>
          </w:p>
        </w:tc>
        <w:tc>
          <w:tcPr>
            <w:tcW w:w="2564" w:type="dxa"/>
            <w:vAlign w:val="top"/>
          </w:tcPr>
          <w:p w14:paraId="67970EB2">
            <w:pPr>
              <w:spacing w:before="182" w:line="219" w:lineRule="auto"/>
              <w:ind w:left="1028"/>
              <w:rPr>
                <w:rFonts w:ascii="宋体" w:hAnsi="宋体" w:eastAsia="宋体" w:cs="宋体"/>
                <w:sz w:val="18"/>
                <w:szCs w:val="18"/>
              </w:rPr>
            </w:pPr>
            <w:r>
              <w:rPr>
                <w:rFonts w:ascii="宋体" w:hAnsi="宋体" w:eastAsia="宋体" w:cs="宋体"/>
                <w:color w:val="333333"/>
                <w:spacing w:val="-4"/>
                <w:sz w:val="18"/>
                <w:szCs w:val="18"/>
              </w:rPr>
              <w:t>兰州市</w:t>
            </w:r>
          </w:p>
        </w:tc>
        <w:tc>
          <w:tcPr>
            <w:tcW w:w="2564" w:type="dxa"/>
            <w:vAlign w:val="top"/>
          </w:tcPr>
          <w:p w14:paraId="4A9ED260">
            <w:pPr>
              <w:spacing w:before="186" w:line="196" w:lineRule="auto"/>
              <w:ind w:left="1137"/>
              <w:rPr>
                <w:rFonts w:ascii="Arial" w:hAnsi="Arial" w:eastAsia="Arial" w:cs="Arial"/>
                <w:sz w:val="18"/>
                <w:szCs w:val="18"/>
              </w:rPr>
            </w:pPr>
            <w:r>
              <w:rPr>
                <w:rFonts w:ascii="Arial" w:hAnsi="Arial" w:eastAsia="Arial" w:cs="Arial"/>
                <w:color w:val="333333"/>
                <w:spacing w:val="-1"/>
                <w:sz w:val="18"/>
                <w:szCs w:val="18"/>
              </w:rPr>
              <w:t>470</w:t>
            </w:r>
          </w:p>
        </w:tc>
        <w:tc>
          <w:tcPr>
            <w:tcW w:w="1021" w:type="dxa"/>
            <w:vAlign w:val="top"/>
          </w:tcPr>
          <w:p w14:paraId="4AF4DEB2">
            <w:pPr>
              <w:spacing w:before="186"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01F05456">
            <w:pPr>
              <w:spacing w:line="271" w:lineRule="auto"/>
              <w:rPr>
                <w:rFonts w:ascii="Arial"/>
                <w:sz w:val="21"/>
              </w:rPr>
            </w:pPr>
          </w:p>
          <w:p w14:paraId="67ECC437">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F09D7BB">
            <w:pPr>
              <w:spacing w:line="271" w:lineRule="auto"/>
              <w:rPr>
                <w:rFonts w:ascii="Arial"/>
                <w:sz w:val="21"/>
              </w:rPr>
            </w:pPr>
          </w:p>
          <w:p w14:paraId="64BEF8C0">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1223B01A">
            <w:pPr>
              <w:spacing w:line="271" w:lineRule="auto"/>
              <w:rPr>
                <w:rFonts w:ascii="Arial"/>
                <w:sz w:val="21"/>
              </w:rPr>
            </w:pPr>
          </w:p>
          <w:p w14:paraId="446E44FB">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58469EC7">
            <w:pPr>
              <w:spacing w:line="271" w:lineRule="auto"/>
              <w:rPr>
                <w:rFonts w:ascii="Arial"/>
                <w:sz w:val="21"/>
              </w:rPr>
            </w:pPr>
          </w:p>
          <w:p w14:paraId="46683BC2">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311FF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tcBorders>
            <w:vAlign w:val="top"/>
          </w:tcPr>
          <w:p w14:paraId="4B7A7E45">
            <w:pPr>
              <w:rPr>
                <w:rFonts w:ascii="Arial"/>
                <w:sz w:val="21"/>
              </w:rPr>
            </w:pPr>
          </w:p>
        </w:tc>
        <w:tc>
          <w:tcPr>
            <w:tcW w:w="620" w:type="dxa"/>
            <w:vMerge w:val="continue"/>
            <w:tcBorders>
              <w:top w:val="nil"/>
            </w:tcBorders>
            <w:vAlign w:val="top"/>
          </w:tcPr>
          <w:p w14:paraId="097F42D9">
            <w:pPr>
              <w:rPr>
                <w:rFonts w:ascii="Arial"/>
                <w:sz w:val="21"/>
              </w:rPr>
            </w:pPr>
          </w:p>
        </w:tc>
        <w:tc>
          <w:tcPr>
            <w:tcW w:w="2564" w:type="dxa"/>
            <w:vAlign w:val="top"/>
          </w:tcPr>
          <w:p w14:paraId="7D0866A6">
            <w:pPr>
              <w:spacing w:before="186"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1F896A51">
            <w:pPr>
              <w:spacing w:before="187"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Align w:val="top"/>
          </w:tcPr>
          <w:p w14:paraId="21011ABC">
            <w:pPr>
              <w:spacing w:before="187" w:line="196" w:lineRule="auto"/>
              <w:ind w:left="386"/>
              <w:rPr>
                <w:rFonts w:ascii="Arial" w:hAnsi="Arial" w:eastAsia="Arial" w:cs="Arial"/>
                <w:sz w:val="18"/>
                <w:szCs w:val="18"/>
              </w:rPr>
            </w:pPr>
            <w:r>
              <w:rPr>
                <w:rFonts w:ascii="Arial" w:hAnsi="Arial" w:eastAsia="Arial" w:cs="Arial"/>
                <w:color w:val="333333"/>
                <w:spacing w:val="-4"/>
                <w:sz w:val="18"/>
                <w:szCs w:val="18"/>
              </w:rPr>
              <w:t>310</w:t>
            </w:r>
          </w:p>
        </w:tc>
        <w:tc>
          <w:tcPr>
            <w:tcW w:w="990" w:type="dxa"/>
            <w:vAlign w:val="top"/>
          </w:tcPr>
          <w:p w14:paraId="020EA6D7">
            <w:pPr>
              <w:spacing w:line="272" w:lineRule="auto"/>
              <w:rPr>
                <w:rFonts w:ascii="Arial"/>
                <w:sz w:val="21"/>
              </w:rPr>
            </w:pPr>
          </w:p>
          <w:p w14:paraId="7F506386">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20227AB2">
            <w:pPr>
              <w:spacing w:line="272" w:lineRule="auto"/>
              <w:rPr>
                <w:rFonts w:ascii="Arial"/>
                <w:sz w:val="21"/>
              </w:rPr>
            </w:pPr>
          </w:p>
          <w:p w14:paraId="61ACA79C">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396D13CF">
            <w:pPr>
              <w:spacing w:line="272" w:lineRule="auto"/>
              <w:rPr>
                <w:rFonts w:ascii="Arial"/>
                <w:sz w:val="21"/>
              </w:rPr>
            </w:pPr>
          </w:p>
          <w:p w14:paraId="4CB5C6E8">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34904F05">
            <w:pPr>
              <w:spacing w:line="272" w:lineRule="auto"/>
              <w:rPr>
                <w:rFonts w:ascii="Arial"/>
                <w:sz w:val="21"/>
              </w:rPr>
            </w:pPr>
          </w:p>
          <w:p w14:paraId="02E0E203">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2C8D2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restart"/>
            <w:tcBorders>
              <w:bottom w:val="nil"/>
            </w:tcBorders>
            <w:vAlign w:val="top"/>
          </w:tcPr>
          <w:p w14:paraId="6DA58163">
            <w:pPr>
              <w:spacing w:line="263" w:lineRule="auto"/>
              <w:rPr>
                <w:rFonts w:ascii="Arial"/>
                <w:sz w:val="21"/>
              </w:rPr>
            </w:pPr>
          </w:p>
          <w:p w14:paraId="20B31C86">
            <w:pPr>
              <w:spacing w:line="263" w:lineRule="auto"/>
              <w:rPr>
                <w:rFonts w:ascii="Arial"/>
                <w:sz w:val="21"/>
              </w:rPr>
            </w:pPr>
          </w:p>
          <w:p w14:paraId="20513E87">
            <w:pPr>
              <w:spacing w:line="263" w:lineRule="auto"/>
              <w:rPr>
                <w:rFonts w:ascii="Arial"/>
                <w:sz w:val="21"/>
              </w:rPr>
            </w:pPr>
          </w:p>
          <w:p w14:paraId="5033CE70">
            <w:pPr>
              <w:spacing w:line="264" w:lineRule="auto"/>
              <w:rPr>
                <w:rFonts w:ascii="Arial"/>
                <w:sz w:val="21"/>
              </w:rPr>
            </w:pPr>
          </w:p>
          <w:p w14:paraId="7E7CB131">
            <w:pPr>
              <w:spacing w:before="52" w:line="196" w:lineRule="auto"/>
              <w:ind w:left="179"/>
              <w:rPr>
                <w:rFonts w:ascii="Arial" w:hAnsi="Arial" w:eastAsia="Arial" w:cs="Arial"/>
                <w:sz w:val="18"/>
                <w:szCs w:val="18"/>
              </w:rPr>
            </w:pPr>
            <w:r>
              <w:rPr>
                <w:rFonts w:ascii="Arial" w:hAnsi="Arial" w:eastAsia="Arial" w:cs="Arial"/>
                <w:color w:val="333333"/>
                <w:spacing w:val="-4"/>
                <w:sz w:val="18"/>
                <w:szCs w:val="18"/>
              </w:rPr>
              <w:t>34</w:t>
            </w:r>
          </w:p>
        </w:tc>
        <w:tc>
          <w:tcPr>
            <w:tcW w:w="620" w:type="dxa"/>
            <w:vMerge w:val="restart"/>
            <w:tcBorders>
              <w:bottom w:val="nil"/>
            </w:tcBorders>
            <w:vAlign w:val="top"/>
          </w:tcPr>
          <w:p w14:paraId="3B4421DA">
            <w:pPr>
              <w:spacing w:line="260" w:lineRule="auto"/>
              <w:rPr>
                <w:rFonts w:ascii="Arial"/>
                <w:sz w:val="21"/>
              </w:rPr>
            </w:pPr>
          </w:p>
          <w:p w14:paraId="7E42393C">
            <w:pPr>
              <w:spacing w:line="260" w:lineRule="auto"/>
              <w:rPr>
                <w:rFonts w:ascii="Arial"/>
                <w:sz w:val="21"/>
              </w:rPr>
            </w:pPr>
          </w:p>
          <w:p w14:paraId="37EF51CB">
            <w:pPr>
              <w:spacing w:line="261" w:lineRule="auto"/>
              <w:rPr>
                <w:rFonts w:ascii="Arial"/>
                <w:sz w:val="21"/>
              </w:rPr>
            </w:pPr>
          </w:p>
          <w:p w14:paraId="12E6811D">
            <w:pPr>
              <w:spacing w:line="261" w:lineRule="auto"/>
              <w:rPr>
                <w:rFonts w:ascii="Arial"/>
                <w:sz w:val="21"/>
              </w:rPr>
            </w:pPr>
          </w:p>
          <w:p w14:paraId="721F6A37">
            <w:pPr>
              <w:spacing w:before="58" w:line="219" w:lineRule="auto"/>
              <w:ind w:left="141"/>
              <w:rPr>
                <w:rFonts w:ascii="宋体" w:hAnsi="宋体" w:eastAsia="宋体" w:cs="宋体"/>
                <w:sz w:val="18"/>
                <w:szCs w:val="18"/>
              </w:rPr>
            </w:pPr>
            <w:r>
              <w:rPr>
                <w:rFonts w:ascii="宋体" w:hAnsi="宋体" w:eastAsia="宋体" w:cs="宋体"/>
                <w:color w:val="333333"/>
                <w:spacing w:val="-4"/>
                <w:sz w:val="18"/>
                <w:szCs w:val="18"/>
              </w:rPr>
              <w:t>青海</w:t>
            </w:r>
          </w:p>
        </w:tc>
        <w:tc>
          <w:tcPr>
            <w:tcW w:w="2564" w:type="dxa"/>
            <w:vAlign w:val="top"/>
          </w:tcPr>
          <w:p w14:paraId="30397FE0">
            <w:pPr>
              <w:spacing w:before="184" w:line="219" w:lineRule="auto"/>
              <w:ind w:left="1042"/>
              <w:rPr>
                <w:rFonts w:ascii="宋体" w:hAnsi="宋体" w:eastAsia="宋体" w:cs="宋体"/>
                <w:sz w:val="18"/>
                <w:szCs w:val="18"/>
              </w:rPr>
            </w:pPr>
            <w:r>
              <w:rPr>
                <w:rFonts w:ascii="宋体" w:hAnsi="宋体" w:eastAsia="宋体" w:cs="宋体"/>
                <w:color w:val="333333"/>
                <w:spacing w:val="-7"/>
                <w:sz w:val="18"/>
                <w:szCs w:val="18"/>
              </w:rPr>
              <w:t>西宁市</w:t>
            </w:r>
          </w:p>
        </w:tc>
        <w:tc>
          <w:tcPr>
            <w:tcW w:w="2564" w:type="dxa"/>
            <w:vAlign w:val="top"/>
          </w:tcPr>
          <w:p w14:paraId="2F9D1CDC">
            <w:pPr>
              <w:spacing w:before="185" w:line="196" w:lineRule="auto"/>
              <w:ind w:left="1155"/>
              <w:rPr>
                <w:rFonts w:ascii="Arial" w:hAnsi="Arial" w:eastAsia="Arial" w:cs="Arial"/>
                <w:sz w:val="18"/>
                <w:szCs w:val="18"/>
              </w:rPr>
            </w:pPr>
            <w:r>
              <w:rPr>
                <w:rFonts w:ascii="Arial" w:hAnsi="Arial" w:eastAsia="Arial" w:cs="Arial"/>
                <w:color w:val="333333"/>
                <w:spacing w:val="-4"/>
                <w:sz w:val="18"/>
                <w:szCs w:val="18"/>
              </w:rPr>
              <w:t>500</w:t>
            </w:r>
          </w:p>
        </w:tc>
        <w:tc>
          <w:tcPr>
            <w:tcW w:w="1021" w:type="dxa"/>
            <w:vAlign w:val="top"/>
          </w:tcPr>
          <w:p w14:paraId="645A0A99">
            <w:pPr>
              <w:spacing w:before="185"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38E9A2F2">
            <w:pPr>
              <w:spacing w:before="184" w:line="219" w:lineRule="auto"/>
              <w:ind w:left="269"/>
              <w:rPr>
                <w:rFonts w:ascii="宋体" w:hAnsi="宋体" w:eastAsia="宋体" w:cs="宋体"/>
                <w:sz w:val="18"/>
                <w:szCs w:val="18"/>
              </w:rPr>
            </w:pPr>
            <w:r>
              <w:rPr>
                <w:rFonts w:ascii="宋体" w:hAnsi="宋体" w:eastAsia="宋体" w:cs="宋体"/>
                <w:color w:val="333333"/>
                <w:spacing w:val="-7"/>
                <w:sz w:val="18"/>
                <w:szCs w:val="18"/>
              </w:rPr>
              <w:t>西宁市</w:t>
            </w:r>
          </w:p>
        </w:tc>
        <w:tc>
          <w:tcPr>
            <w:tcW w:w="991" w:type="dxa"/>
            <w:vAlign w:val="top"/>
          </w:tcPr>
          <w:p w14:paraId="7F6BADF8">
            <w:pPr>
              <w:spacing w:before="184" w:line="219" w:lineRule="auto"/>
              <w:ind w:left="309"/>
              <w:rPr>
                <w:rFonts w:ascii="宋体" w:hAnsi="宋体" w:eastAsia="宋体" w:cs="宋体"/>
                <w:sz w:val="18"/>
                <w:szCs w:val="18"/>
              </w:rPr>
            </w:pPr>
            <w:r>
              <w:rPr>
                <w:rFonts w:ascii="Arial" w:hAnsi="Arial" w:eastAsia="Arial" w:cs="Arial"/>
                <w:color w:val="333333"/>
                <w:spacing w:val="-3"/>
                <w:sz w:val="18"/>
                <w:szCs w:val="18"/>
              </w:rPr>
              <w:t>6-9</w:t>
            </w:r>
            <w:r>
              <w:rPr>
                <w:rFonts w:ascii="宋体" w:hAnsi="宋体" w:eastAsia="宋体" w:cs="宋体"/>
                <w:color w:val="333333"/>
                <w:spacing w:val="-3"/>
                <w:sz w:val="18"/>
                <w:szCs w:val="18"/>
              </w:rPr>
              <w:t>月</w:t>
            </w:r>
          </w:p>
        </w:tc>
        <w:tc>
          <w:tcPr>
            <w:tcW w:w="990" w:type="dxa"/>
            <w:vAlign w:val="top"/>
          </w:tcPr>
          <w:p w14:paraId="18A619B7">
            <w:pPr>
              <w:spacing w:before="185" w:line="196" w:lineRule="auto"/>
              <w:ind w:left="385"/>
              <w:rPr>
                <w:rFonts w:ascii="Arial" w:hAnsi="Arial" w:eastAsia="Arial" w:cs="Arial"/>
                <w:sz w:val="18"/>
                <w:szCs w:val="18"/>
              </w:rPr>
            </w:pPr>
            <w:r>
              <w:rPr>
                <w:rFonts w:ascii="Arial" w:hAnsi="Arial" w:eastAsia="Arial" w:cs="Arial"/>
                <w:color w:val="333333"/>
                <w:spacing w:val="-4"/>
                <w:sz w:val="18"/>
                <w:szCs w:val="18"/>
              </w:rPr>
              <w:t>750</w:t>
            </w:r>
          </w:p>
        </w:tc>
        <w:tc>
          <w:tcPr>
            <w:tcW w:w="1012" w:type="dxa"/>
            <w:vAlign w:val="top"/>
          </w:tcPr>
          <w:p w14:paraId="3E49EB2C">
            <w:pPr>
              <w:spacing w:before="185" w:line="196" w:lineRule="auto"/>
              <w:ind w:left="387"/>
              <w:rPr>
                <w:rFonts w:ascii="Arial" w:hAnsi="Arial" w:eastAsia="Arial" w:cs="Arial"/>
                <w:sz w:val="18"/>
                <w:szCs w:val="18"/>
              </w:rPr>
            </w:pPr>
            <w:r>
              <w:rPr>
                <w:rFonts w:ascii="Arial" w:hAnsi="Arial" w:eastAsia="Arial" w:cs="Arial"/>
                <w:color w:val="333333"/>
                <w:spacing w:val="-4"/>
                <w:sz w:val="18"/>
                <w:szCs w:val="18"/>
              </w:rPr>
              <w:t>530</w:t>
            </w:r>
          </w:p>
        </w:tc>
      </w:tr>
      <w:tr w14:paraId="074D0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13" w:type="dxa"/>
            <w:vMerge w:val="continue"/>
            <w:tcBorders>
              <w:top w:val="nil"/>
              <w:bottom w:val="nil"/>
            </w:tcBorders>
            <w:vAlign w:val="top"/>
          </w:tcPr>
          <w:p w14:paraId="0FB34EE9">
            <w:pPr>
              <w:rPr>
                <w:rFonts w:ascii="Arial"/>
                <w:sz w:val="21"/>
              </w:rPr>
            </w:pPr>
          </w:p>
        </w:tc>
        <w:tc>
          <w:tcPr>
            <w:tcW w:w="620" w:type="dxa"/>
            <w:vMerge w:val="continue"/>
            <w:tcBorders>
              <w:top w:val="nil"/>
              <w:bottom w:val="nil"/>
            </w:tcBorders>
            <w:vAlign w:val="top"/>
          </w:tcPr>
          <w:p w14:paraId="18F88B8F">
            <w:pPr>
              <w:rPr>
                <w:rFonts w:ascii="Arial"/>
                <w:sz w:val="21"/>
              </w:rPr>
            </w:pPr>
          </w:p>
        </w:tc>
        <w:tc>
          <w:tcPr>
            <w:tcW w:w="2564" w:type="dxa"/>
            <w:vAlign w:val="top"/>
          </w:tcPr>
          <w:p w14:paraId="381689A5">
            <w:pPr>
              <w:spacing w:before="182" w:line="219" w:lineRule="auto"/>
              <w:ind w:left="671"/>
              <w:rPr>
                <w:rFonts w:ascii="宋体" w:hAnsi="宋体" w:eastAsia="宋体" w:cs="宋体"/>
                <w:sz w:val="18"/>
                <w:szCs w:val="18"/>
              </w:rPr>
            </w:pPr>
            <w:r>
              <w:rPr>
                <w:rFonts w:ascii="宋体" w:hAnsi="宋体" w:eastAsia="宋体" w:cs="宋体"/>
                <w:color w:val="333333"/>
                <w:spacing w:val="-4"/>
                <w:sz w:val="18"/>
                <w:szCs w:val="18"/>
              </w:rPr>
              <w:t>玉树州、果洛州</w:t>
            </w:r>
          </w:p>
        </w:tc>
        <w:tc>
          <w:tcPr>
            <w:tcW w:w="2564" w:type="dxa"/>
            <w:vAlign w:val="top"/>
          </w:tcPr>
          <w:p w14:paraId="7AA55364">
            <w:pPr>
              <w:spacing w:before="189" w:line="196" w:lineRule="auto"/>
              <w:ind w:left="1155"/>
              <w:rPr>
                <w:rFonts w:ascii="Arial" w:hAnsi="Arial" w:eastAsia="Arial" w:cs="Arial"/>
                <w:sz w:val="18"/>
                <w:szCs w:val="18"/>
              </w:rPr>
            </w:pPr>
            <w:r>
              <w:rPr>
                <w:rFonts w:ascii="Arial" w:hAnsi="Arial" w:eastAsia="Arial" w:cs="Arial"/>
                <w:color w:val="333333"/>
                <w:spacing w:val="-4"/>
                <w:sz w:val="18"/>
                <w:szCs w:val="18"/>
              </w:rPr>
              <w:t>350</w:t>
            </w:r>
          </w:p>
        </w:tc>
        <w:tc>
          <w:tcPr>
            <w:tcW w:w="1021" w:type="dxa"/>
            <w:vAlign w:val="top"/>
          </w:tcPr>
          <w:p w14:paraId="7BA49D1D">
            <w:pPr>
              <w:spacing w:before="189"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0007E397">
            <w:pPr>
              <w:spacing w:before="182" w:line="219" w:lineRule="auto"/>
              <w:ind w:left="258"/>
              <w:rPr>
                <w:rFonts w:ascii="宋体" w:hAnsi="宋体" w:eastAsia="宋体" w:cs="宋体"/>
                <w:sz w:val="18"/>
                <w:szCs w:val="18"/>
              </w:rPr>
            </w:pPr>
            <w:r>
              <w:rPr>
                <w:rFonts w:ascii="宋体" w:hAnsi="宋体" w:eastAsia="宋体" w:cs="宋体"/>
                <w:color w:val="333333"/>
                <w:spacing w:val="-5"/>
                <w:sz w:val="18"/>
                <w:szCs w:val="18"/>
              </w:rPr>
              <w:t>玉树州</w:t>
            </w:r>
          </w:p>
        </w:tc>
        <w:tc>
          <w:tcPr>
            <w:tcW w:w="991" w:type="dxa"/>
            <w:vAlign w:val="top"/>
          </w:tcPr>
          <w:p w14:paraId="3A8B73BE">
            <w:pPr>
              <w:spacing w:before="185" w:line="219" w:lineRule="auto"/>
              <w:ind w:left="312"/>
              <w:rPr>
                <w:rFonts w:ascii="宋体" w:hAnsi="宋体" w:eastAsia="宋体" w:cs="宋体"/>
                <w:sz w:val="18"/>
                <w:szCs w:val="18"/>
              </w:rPr>
            </w:pPr>
            <w:r>
              <w:rPr>
                <w:rFonts w:ascii="Arial" w:hAnsi="Arial" w:eastAsia="Arial" w:cs="Arial"/>
                <w:color w:val="333333"/>
                <w:spacing w:val="-3"/>
                <w:sz w:val="18"/>
                <w:szCs w:val="18"/>
              </w:rPr>
              <w:t>5-9</w:t>
            </w:r>
            <w:r>
              <w:rPr>
                <w:rFonts w:ascii="宋体" w:hAnsi="宋体" w:eastAsia="宋体" w:cs="宋体"/>
                <w:color w:val="333333"/>
                <w:spacing w:val="-3"/>
                <w:sz w:val="18"/>
                <w:szCs w:val="18"/>
              </w:rPr>
              <w:t>月</w:t>
            </w:r>
          </w:p>
        </w:tc>
        <w:tc>
          <w:tcPr>
            <w:tcW w:w="990" w:type="dxa"/>
            <w:vAlign w:val="top"/>
          </w:tcPr>
          <w:p w14:paraId="0B894B81">
            <w:pPr>
              <w:spacing w:before="189" w:line="196" w:lineRule="auto"/>
              <w:ind w:left="384"/>
              <w:rPr>
                <w:rFonts w:ascii="Arial" w:hAnsi="Arial" w:eastAsia="Arial" w:cs="Arial"/>
                <w:sz w:val="18"/>
                <w:szCs w:val="18"/>
              </w:rPr>
            </w:pPr>
            <w:r>
              <w:rPr>
                <w:rFonts w:ascii="Arial" w:hAnsi="Arial" w:eastAsia="Arial" w:cs="Arial"/>
                <w:color w:val="333333"/>
                <w:spacing w:val="-4"/>
                <w:sz w:val="18"/>
                <w:szCs w:val="18"/>
              </w:rPr>
              <w:t>525</w:t>
            </w:r>
          </w:p>
        </w:tc>
        <w:tc>
          <w:tcPr>
            <w:tcW w:w="1012" w:type="dxa"/>
            <w:vAlign w:val="top"/>
          </w:tcPr>
          <w:p w14:paraId="6E08F300">
            <w:pPr>
              <w:spacing w:before="189" w:line="196" w:lineRule="auto"/>
              <w:ind w:left="373"/>
              <w:rPr>
                <w:rFonts w:ascii="Arial" w:hAnsi="Arial" w:eastAsia="Arial" w:cs="Arial"/>
                <w:sz w:val="18"/>
                <w:szCs w:val="18"/>
              </w:rPr>
            </w:pPr>
            <w:r>
              <w:rPr>
                <w:rFonts w:ascii="Arial" w:hAnsi="Arial" w:eastAsia="Arial" w:cs="Arial"/>
                <w:color w:val="333333"/>
                <w:spacing w:val="-2"/>
                <w:sz w:val="18"/>
                <w:szCs w:val="18"/>
              </w:rPr>
              <w:t>450</w:t>
            </w:r>
          </w:p>
        </w:tc>
      </w:tr>
      <w:tr w14:paraId="2F04F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bottom w:val="nil"/>
            </w:tcBorders>
            <w:vAlign w:val="top"/>
          </w:tcPr>
          <w:p w14:paraId="2D7E27F1">
            <w:pPr>
              <w:rPr>
                <w:rFonts w:ascii="Arial"/>
                <w:sz w:val="21"/>
              </w:rPr>
            </w:pPr>
          </w:p>
        </w:tc>
        <w:tc>
          <w:tcPr>
            <w:tcW w:w="620" w:type="dxa"/>
            <w:vMerge w:val="continue"/>
            <w:tcBorders>
              <w:top w:val="nil"/>
              <w:bottom w:val="nil"/>
            </w:tcBorders>
            <w:vAlign w:val="top"/>
          </w:tcPr>
          <w:p w14:paraId="59EC99C1">
            <w:pPr>
              <w:rPr>
                <w:rFonts w:ascii="Arial"/>
                <w:sz w:val="21"/>
              </w:rPr>
            </w:pPr>
          </w:p>
        </w:tc>
        <w:tc>
          <w:tcPr>
            <w:tcW w:w="2564" w:type="dxa"/>
            <w:vAlign w:val="top"/>
          </w:tcPr>
          <w:p w14:paraId="1B76DFF7">
            <w:pPr>
              <w:spacing w:before="185" w:line="219" w:lineRule="auto"/>
              <w:ind w:left="667"/>
              <w:rPr>
                <w:rFonts w:ascii="宋体" w:hAnsi="宋体" w:eastAsia="宋体" w:cs="宋体"/>
                <w:sz w:val="18"/>
                <w:szCs w:val="18"/>
              </w:rPr>
            </w:pPr>
            <w:r>
              <w:rPr>
                <w:rFonts w:ascii="宋体" w:hAnsi="宋体" w:eastAsia="宋体" w:cs="宋体"/>
                <w:color w:val="333333"/>
                <w:spacing w:val="-3"/>
                <w:sz w:val="18"/>
                <w:szCs w:val="18"/>
              </w:rPr>
              <w:t>海北州、黄南州</w:t>
            </w:r>
          </w:p>
        </w:tc>
        <w:tc>
          <w:tcPr>
            <w:tcW w:w="2564" w:type="dxa"/>
            <w:vAlign w:val="top"/>
          </w:tcPr>
          <w:p w14:paraId="1288C402">
            <w:pPr>
              <w:spacing w:before="190" w:line="196" w:lineRule="auto"/>
              <w:ind w:left="1155"/>
              <w:rPr>
                <w:rFonts w:ascii="Arial" w:hAnsi="Arial" w:eastAsia="Arial" w:cs="Arial"/>
                <w:sz w:val="18"/>
                <w:szCs w:val="18"/>
              </w:rPr>
            </w:pPr>
            <w:r>
              <w:rPr>
                <w:rFonts w:ascii="Arial" w:hAnsi="Arial" w:eastAsia="Arial" w:cs="Arial"/>
                <w:color w:val="333333"/>
                <w:spacing w:val="-4"/>
                <w:sz w:val="18"/>
                <w:szCs w:val="18"/>
              </w:rPr>
              <w:t>350</w:t>
            </w:r>
          </w:p>
        </w:tc>
        <w:tc>
          <w:tcPr>
            <w:tcW w:w="1021" w:type="dxa"/>
            <w:vAlign w:val="top"/>
          </w:tcPr>
          <w:p w14:paraId="6BF47155">
            <w:pPr>
              <w:spacing w:before="190" w:line="196" w:lineRule="auto"/>
              <w:ind w:left="381"/>
              <w:rPr>
                <w:rFonts w:ascii="Arial" w:hAnsi="Arial" w:eastAsia="Arial" w:cs="Arial"/>
                <w:sz w:val="18"/>
                <w:szCs w:val="18"/>
              </w:rPr>
            </w:pPr>
            <w:r>
              <w:rPr>
                <w:rFonts w:ascii="Arial" w:hAnsi="Arial" w:eastAsia="Arial" w:cs="Arial"/>
                <w:color w:val="333333"/>
                <w:spacing w:val="-3"/>
                <w:sz w:val="18"/>
                <w:szCs w:val="18"/>
              </w:rPr>
              <w:t>250</w:t>
            </w:r>
          </w:p>
        </w:tc>
        <w:tc>
          <w:tcPr>
            <w:tcW w:w="990" w:type="dxa"/>
            <w:vAlign w:val="top"/>
          </w:tcPr>
          <w:p w14:paraId="7AC60CC9">
            <w:pPr>
              <w:spacing w:before="52" w:line="203" w:lineRule="auto"/>
              <w:ind w:left="350" w:right="28" w:hanging="276"/>
              <w:rPr>
                <w:rFonts w:ascii="宋体" w:hAnsi="宋体" w:eastAsia="宋体" w:cs="宋体"/>
                <w:sz w:val="18"/>
                <w:szCs w:val="18"/>
              </w:rPr>
            </w:pPr>
            <w:r>
              <w:rPr>
                <w:rFonts w:ascii="宋体" w:hAnsi="宋体" w:eastAsia="宋体" w:cs="宋体"/>
                <w:color w:val="333333"/>
                <w:spacing w:val="-4"/>
                <w:sz w:val="18"/>
                <w:szCs w:val="18"/>
              </w:rPr>
              <w:t>海北州、黄</w:t>
            </w:r>
            <w:r>
              <w:rPr>
                <w:rFonts w:ascii="宋体" w:hAnsi="宋体" w:eastAsia="宋体" w:cs="宋体"/>
                <w:color w:val="333333"/>
                <w:sz w:val="18"/>
                <w:szCs w:val="18"/>
              </w:rPr>
              <w:t xml:space="preserve"> </w:t>
            </w:r>
            <w:r>
              <w:rPr>
                <w:rFonts w:ascii="宋体" w:hAnsi="宋体" w:eastAsia="宋体" w:cs="宋体"/>
                <w:color w:val="333333"/>
                <w:spacing w:val="-5"/>
                <w:sz w:val="18"/>
                <w:szCs w:val="18"/>
              </w:rPr>
              <w:t>南州</w:t>
            </w:r>
          </w:p>
        </w:tc>
        <w:tc>
          <w:tcPr>
            <w:tcW w:w="991" w:type="dxa"/>
            <w:vAlign w:val="top"/>
          </w:tcPr>
          <w:p w14:paraId="72D61423">
            <w:pPr>
              <w:spacing w:before="188" w:line="219" w:lineRule="auto"/>
              <w:ind w:left="312"/>
              <w:rPr>
                <w:rFonts w:ascii="宋体" w:hAnsi="宋体" w:eastAsia="宋体" w:cs="宋体"/>
                <w:sz w:val="18"/>
                <w:szCs w:val="18"/>
              </w:rPr>
            </w:pPr>
            <w:r>
              <w:rPr>
                <w:rFonts w:ascii="Arial" w:hAnsi="Arial" w:eastAsia="Arial" w:cs="Arial"/>
                <w:color w:val="333333"/>
                <w:spacing w:val="-3"/>
                <w:sz w:val="18"/>
                <w:szCs w:val="18"/>
              </w:rPr>
              <w:t>5-9</w:t>
            </w:r>
            <w:r>
              <w:rPr>
                <w:rFonts w:ascii="宋体" w:hAnsi="宋体" w:eastAsia="宋体" w:cs="宋体"/>
                <w:color w:val="333333"/>
                <w:spacing w:val="-3"/>
                <w:sz w:val="18"/>
                <w:szCs w:val="18"/>
              </w:rPr>
              <w:t>月</w:t>
            </w:r>
          </w:p>
        </w:tc>
        <w:tc>
          <w:tcPr>
            <w:tcW w:w="990" w:type="dxa"/>
            <w:vAlign w:val="top"/>
          </w:tcPr>
          <w:p w14:paraId="3E7C868F">
            <w:pPr>
              <w:spacing w:before="190" w:line="196" w:lineRule="auto"/>
              <w:ind w:left="384"/>
              <w:rPr>
                <w:rFonts w:ascii="Arial" w:hAnsi="Arial" w:eastAsia="Arial" w:cs="Arial"/>
                <w:sz w:val="18"/>
                <w:szCs w:val="18"/>
              </w:rPr>
            </w:pPr>
            <w:r>
              <w:rPr>
                <w:rFonts w:ascii="Arial" w:hAnsi="Arial" w:eastAsia="Arial" w:cs="Arial"/>
                <w:color w:val="333333"/>
                <w:spacing w:val="-4"/>
                <w:sz w:val="18"/>
                <w:szCs w:val="18"/>
              </w:rPr>
              <w:t>525</w:t>
            </w:r>
          </w:p>
        </w:tc>
        <w:tc>
          <w:tcPr>
            <w:tcW w:w="1012" w:type="dxa"/>
            <w:vAlign w:val="top"/>
          </w:tcPr>
          <w:p w14:paraId="2D0E4C2F">
            <w:pPr>
              <w:spacing w:before="190" w:line="196" w:lineRule="auto"/>
              <w:ind w:left="387"/>
              <w:rPr>
                <w:rFonts w:ascii="Arial" w:hAnsi="Arial" w:eastAsia="Arial" w:cs="Arial"/>
                <w:sz w:val="18"/>
                <w:szCs w:val="18"/>
              </w:rPr>
            </w:pPr>
            <w:r>
              <w:rPr>
                <w:rFonts w:ascii="Arial" w:hAnsi="Arial" w:eastAsia="Arial" w:cs="Arial"/>
                <w:color w:val="333333"/>
                <w:spacing w:val="-4"/>
                <w:sz w:val="18"/>
                <w:szCs w:val="18"/>
              </w:rPr>
              <w:t>375</w:t>
            </w:r>
          </w:p>
        </w:tc>
      </w:tr>
      <w:tr w14:paraId="4E879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13" w:type="dxa"/>
            <w:vMerge w:val="continue"/>
            <w:tcBorders>
              <w:top w:val="nil"/>
              <w:bottom w:val="nil"/>
            </w:tcBorders>
            <w:vAlign w:val="top"/>
          </w:tcPr>
          <w:p w14:paraId="04F37F08">
            <w:pPr>
              <w:rPr>
                <w:rFonts w:ascii="Arial"/>
                <w:sz w:val="21"/>
              </w:rPr>
            </w:pPr>
          </w:p>
        </w:tc>
        <w:tc>
          <w:tcPr>
            <w:tcW w:w="620" w:type="dxa"/>
            <w:vMerge w:val="continue"/>
            <w:tcBorders>
              <w:top w:val="nil"/>
              <w:bottom w:val="nil"/>
            </w:tcBorders>
            <w:vAlign w:val="top"/>
          </w:tcPr>
          <w:p w14:paraId="63F0134F">
            <w:pPr>
              <w:rPr>
                <w:rFonts w:ascii="Arial"/>
                <w:sz w:val="21"/>
              </w:rPr>
            </w:pPr>
          </w:p>
        </w:tc>
        <w:tc>
          <w:tcPr>
            <w:tcW w:w="2564" w:type="dxa"/>
            <w:vAlign w:val="top"/>
          </w:tcPr>
          <w:p w14:paraId="54B55301">
            <w:pPr>
              <w:spacing w:before="186" w:line="219" w:lineRule="auto"/>
              <w:ind w:left="667"/>
              <w:rPr>
                <w:rFonts w:ascii="宋体" w:hAnsi="宋体" w:eastAsia="宋体" w:cs="宋体"/>
                <w:sz w:val="18"/>
                <w:szCs w:val="18"/>
              </w:rPr>
            </w:pPr>
            <w:r>
              <w:rPr>
                <w:rFonts w:ascii="宋体" w:hAnsi="宋体" w:eastAsia="宋体" w:cs="宋体"/>
                <w:color w:val="333333"/>
                <w:spacing w:val="-3"/>
                <w:sz w:val="18"/>
                <w:szCs w:val="18"/>
              </w:rPr>
              <w:t>海东市、海南州</w:t>
            </w:r>
          </w:p>
        </w:tc>
        <w:tc>
          <w:tcPr>
            <w:tcW w:w="2564" w:type="dxa"/>
            <w:vAlign w:val="top"/>
          </w:tcPr>
          <w:p w14:paraId="345750C7">
            <w:pPr>
              <w:spacing w:before="190" w:line="196" w:lineRule="auto"/>
              <w:ind w:left="1155"/>
              <w:rPr>
                <w:rFonts w:ascii="Arial" w:hAnsi="Arial" w:eastAsia="Arial" w:cs="Arial"/>
                <w:sz w:val="18"/>
                <w:szCs w:val="18"/>
              </w:rPr>
            </w:pPr>
            <w:r>
              <w:rPr>
                <w:rFonts w:ascii="Arial" w:hAnsi="Arial" w:eastAsia="Arial" w:cs="Arial"/>
                <w:color w:val="333333"/>
                <w:spacing w:val="-4"/>
                <w:sz w:val="18"/>
                <w:szCs w:val="18"/>
              </w:rPr>
              <w:t>300</w:t>
            </w:r>
          </w:p>
        </w:tc>
        <w:tc>
          <w:tcPr>
            <w:tcW w:w="1021" w:type="dxa"/>
            <w:vAlign w:val="top"/>
          </w:tcPr>
          <w:p w14:paraId="5B263F45">
            <w:pPr>
              <w:spacing w:before="190" w:line="196" w:lineRule="auto"/>
              <w:ind w:left="381"/>
              <w:rPr>
                <w:rFonts w:ascii="Arial" w:hAnsi="Arial" w:eastAsia="Arial" w:cs="Arial"/>
                <w:sz w:val="18"/>
                <w:szCs w:val="18"/>
              </w:rPr>
            </w:pPr>
            <w:r>
              <w:rPr>
                <w:rFonts w:ascii="Arial" w:hAnsi="Arial" w:eastAsia="Arial" w:cs="Arial"/>
                <w:color w:val="333333"/>
                <w:spacing w:val="-3"/>
                <w:sz w:val="18"/>
                <w:szCs w:val="18"/>
              </w:rPr>
              <w:t>250</w:t>
            </w:r>
          </w:p>
        </w:tc>
        <w:tc>
          <w:tcPr>
            <w:tcW w:w="990" w:type="dxa"/>
            <w:vAlign w:val="top"/>
          </w:tcPr>
          <w:p w14:paraId="68B31415">
            <w:pPr>
              <w:spacing w:before="52" w:line="203" w:lineRule="auto"/>
              <w:ind w:left="350" w:right="28" w:hanging="276"/>
              <w:rPr>
                <w:rFonts w:ascii="宋体" w:hAnsi="宋体" w:eastAsia="宋体" w:cs="宋体"/>
                <w:sz w:val="18"/>
                <w:szCs w:val="18"/>
              </w:rPr>
            </w:pPr>
            <w:r>
              <w:rPr>
                <w:rFonts w:ascii="宋体" w:hAnsi="宋体" w:eastAsia="宋体" w:cs="宋体"/>
                <w:color w:val="333333"/>
                <w:spacing w:val="-4"/>
                <w:sz w:val="18"/>
                <w:szCs w:val="18"/>
              </w:rPr>
              <w:t>海东市、海</w:t>
            </w:r>
            <w:r>
              <w:rPr>
                <w:rFonts w:ascii="宋体" w:hAnsi="宋体" w:eastAsia="宋体" w:cs="宋体"/>
                <w:color w:val="333333"/>
                <w:sz w:val="18"/>
                <w:szCs w:val="18"/>
              </w:rPr>
              <w:t xml:space="preserve"> </w:t>
            </w:r>
            <w:r>
              <w:rPr>
                <w:rFonts w:ascii="宋体" w:hAnsi="宋体" w:eastAsia="宋体" w:cs="宋体"/>
                <w:color w:val="333333"/>
                <w:spacing w:val="-5"/>
                <w:sz w:val="18"/>
                <w:szCs w:val="18"/>
              </w:rPr>
              <w:t>南州</w:t>
            </w:r>
          </w:p>
        </w:tc>
        <w:tc>
          <w:tcPr>
            <w:tcW w:w="991" w:type="dxa"/>
            <w:vAlign w:val="top"/>
          </w:tcPr>
          <w:p w14:paraId="0BE3373E">
            <w:pPr>
              <w:spacing w:before="189" w:line="219" w:lineRule="auto"/>
              <w:ind w:left="312"/>
              <w:rPr>
                <w:rFonts w:ascii="宋体" w:hAnsi="宋体" w:eastAsia="宋体" w:cs="宋体"/>
                <w:sz w:val="18"/>
                <w:szCs w:val="18"/>
              </w:rPr>
            </w:pPr>
            <w:r>
              <w:rPr>
                <w:rFonts w:ascii="Arial" w:hAnsi="Arial" w:eastAsia="Arial" w:cs="Arial"/>
                <w:color w:val="333333"/>
                <w:spacing w:val="-3"/>
                <w:sz w:val="18"/>
                <w:szCs w:val="18"/>
              </w:rPr>
              <w:t>5-9</w:t>
            </w:r>
            <w:r>
              <w:rPr>
                <w:rFonts w:ascii="宋体" w:hAnsi="宋体" w:eastAsia="宋体" w:cs="宋体"/>
                <w:color w:val="333333"/>
                <w:spacing w:val="-3"/>
                <w:sz w:val="18"/>
                <w:szCs w:val="18"/>
              </w:rPr>
              <w:t>月</w:t>
            </w:r>
          </w:p>
        </w:tc>
        <w:tc>
          <w:tcPr>
            <w:tcW w:w="990" w:type="dxa"/>
            <w:vAlign w:val="top"/>
          </w:tcPr>
          <w:p w14:paraId="5BD2B55A">
            <w:pPr>
              <w:spacing w:before="190" w:line="196" w:lineRule="auto"/>
              <w:ind w:left="367"/>
              <w:rPr>
                <w:rFonts w:ascii="Arial" w:hAnsi="Arial" w:eastAsia="Arial" w:cs="Arial"/>
                <w:sz w:val="18"/>
                <w:szCs w:val="18"/>
              </w:rPr>
            </w:pPr>
            <w:r>
              <w:rPr>
                <w:rFonts w:ascii="Arial" w:hAnsi="Arial" w:eastAsia="Arial" w:cs="Arial"/>
                <w:color w:val="333333"/>
                <w:spacing w:val="-1"/>
                <w:sz w:val="18"/>
                <w:szCs w:val="18"/>
              </w:rPr>
              <w:t>450</w:t>
            </w:r>
          </w:p>
        </w:tc>
        <w:tc>
          <w:tcPr>
            <w:tcW w:w="1012" w:type="dxa"/>
            <w:vAlign w:val="top"/>
          </w:tcPr>
          <w:p w14:paraId="2654AFE7">
            <w:pPr>
              <w:spacing w:before="190" w:line="196" w:lineRule="auto"/>
              <w:ind w:left="387"/>
              <w:rPr>
                <w:rFonts w:ascii="Arial" w:hAnsi="Arial" w:eastAsia="Arial" w:cs="Arial"/>
                <w:sz w:val="18"/>
                <w:szCs w:val="18"/>
              </w:rPr>
            </w:pPr>
            <w:r>
              <w:rPr>
                <w:rFonts w:ascii="Arial" w:hAnsi="Arial" w:eastAsia="Arial" w:cs="Arial"/>
                <w:color w:val="333333"/>
                <w:spacing w:val="-4"/>
                <w:sz w:val="18"/>
                <w:szCs w:val="18"/>
              </w:rPr>
              <w:t>375</w:t>
            </w:r>
          </w:p>
        </w:tc>
      </w:tr>
      <w:tr w14:paraId="24CC6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513" w:type="dxa"/>
            <w:vMerge w:val="continue"/>
            <w:tcBorders>
              <w:top w:val="nil"/>
            </w:tcBorders>
            <w:vAlign w:val="top"/>
          </w:tcPr>
          <w:p w14:paraId="1514A1D7">
            <w:pPr>
              <w:rPr>
                <w:rFonts w:ascii="Arial"/>
                <w:sz w:val="21"/>
              </w:rPr>
            </w:pPr>
          </w:p>
        </w:tc>
        <w:tc>
          <w:tcPr>
            <w:tcW w:w="620" w:type="dxa"/>
            <w:vMerge w:val="continue"/>
            <w:tcBorders>
              <w:top w:val="nil"/>
            </w:tcBorders>
            <w:vAlign w:val="top"/>
          </w:tcPr>
          <w:p w14:paraId="0808C63F">
            <w:pPr>
              <w:rPr>
                <w:rFonts w:ascii="Arial"/>
                <w:sz w:val="21"/>
              </w:rPr>
            </w:pPr>
          </w:p>
        </w:tc>
        <w:tc>
          <w:tcPr>
            <w:tcW w:w="2564" w:type="dxa"/>
            <w:vAlign w:val="top"/>
          </w:tcPr>
          <w:p w14:paraId="5BA7BFC6">
            <w:pPr>
              <w:spacing w:before="186" w:line="219" w:lineRule="auto"/>
              <w:ind w:left="1027"/>
              <w:rPr>
                <w:rFonts w:ascii="宋体" w:hAnsi="宋体" w:eastAsia="宋体" w:cs="宋体"/>
                <w:sz w:val="18"/>
                <w:szCs w:val="18"/>
              </w:rPr>
            </w:pPr>
            <w:r>
              <w:rPr>
                <w:rFonts w:ascii="宋体" w:hAnsi="宋体" w:eastAsia="宋体" w:cs="宋体"/>
                <w:color w:val="333333"/>
                <w:spacing w:val="-3"/>
                <w:sz w:val="18"/>
                <w:szCs w:val="18"/>
              </w:rPr>
              <w:t>海西州</w:t>
            </w:r>
          </w:p>
        </w:tc>
        <w:tc>
          <w:tcPr>
            <w:tcW w:w="2564" w:type="dxa"/>
            <w:vAlign w:val="top"/>
          </w:tcPr>
          <w:p w14:paraId="665BBFDD">
            <w:pPr>
              <w:spacing w:before="190" w:line="196" w:lineRule="auto"/>
              <w:ind w:left="1155"/>
              <w:rPr>
                <w:rFonts w:ascii="Arial" w:hAnsi="Arial" w:eastAsia="Arial" w:cs="Arial"/>
                <w:sz w:val="18"/>
                <w:szCs w:val="18"/>
              </w:rPr>
            </w:pPr>
            <w:r>
              <w:rPr>
                <w:rFonts w:ascii="Arial" w:hAnsi="Arial" w:eastAsia="Arial" w:cs="Arial"/>
                <w:color w:val="333333"/>
                <w:spacing w:val="-4"/>
                <w:sz w:val="18"/>
                <w:szCs w:val="18"/>
              </w:rPr>
              <w:t>300</w:t>
            </w:r>
          </w:p>
        </w:tc>
        <w:tc>
          <w:tcPr>
            <w:tcW w:w="1021" w:type="dxa"/>
            <w:vAlign w:val="top"/>
          </w:tcPr>
          <w:p w14:paraId="6C8030C8">
            <w:pPr>
              <w:spacing w:before="190" w:line="196" w:lineRule="auto"/>
              <w:ind w:left="381"/>
              <w:rPr>
                <w:rFonts w:ascii="Arial" w:hAnsi="Arial" w:eastAsia="Arial" w:cs="Arial"/>
                <w:sz w:val="18"/>
                <w:szCs w:val="18"/>
              </w:rPr>
            </w:pPr>
            <w:r>
              <w:rPr>
                <w:rFonts w:ascii="Arial" w:hAnsi="Arial" w:eastAsia="Arial" w:cs="Arial"/>
                <w:color w:val="333333"/>
                <w:spacing w:val="-3"/>
                <w:sz w:val="18"/>
                <w:szCs w:val="18"/>
              </w:rPr>
              <w:t>200</w:t>
            </w:r>
          </w:p>
        </w:tc>
        <w:tc>
          <w:tcPr>
            <w:tcW w:w="990" w:type="dxa"/>
            <w:vAlign w:val="top"/>
          </w:tcPr>
          <w:p w14:paraId="0A366EBF">
            <w:pPr>
              <w:spacing w:before="186" w:line="219" w:lineRule="auto"/>
              <w:ind w:left="254"/>
              <w:rPr>
                <w:rFonts w:ascii="宋体" w:hAnsi="宋体" w:eastAsia="宋体" w:cs="宋体"/>
                <w:sz w:val="18"/>
                <w:szCs w:val="18"/>
              </w:rPr>
            </w:pPr>
            <w:r>
              <w:rPr>
                <w:rFonts w:ascii="宋体" w:hAnsi="宋体" w:eastAsia="宋体" w:cs="宋体"/>
                <w:color w:val="333333"/>
                <w:spacing w:val="-3"/>
                <w:sz w:val="18"/>
                <w:szCs w:val="18"/>
              </w:rPr>
              <w:t>海西州</w:t>
            </w:r>
          </w:p>
        </w:tc>
        <w:tc>
          <w:tcPr>
            <w:tcW w:w="991" w:type="dxa"/>
            <w:vAlign w:val="top"/>
          </w:tcPr>
          <w:p w14:paraId="32793F84">
            <w:pPr>
              <w:spacing w:before="189" w:line="219" w:lineRule="auto"/>
              <w:ind w:left="312"/>
              <w:rPr>
                <w:rFonts w:ascii="宋体" w:hAnsi="宋体" w:eastAsia="宋体" w:cs="宋体"/>
                <w:sz w:val="18"/>
                <w:szCs w:val="18"/>
              </w:rPr>
            </w:pPr>
            <w:r>
              <w:rPr>
                <w:rFonts w:ascii="Arial" w:hAnsi="Arial" w:eastAsia="Arial" w:cs="Arial"/>
                <w:color w:val="333333"/>
                <w:spacing w:val="-3"/>
                <w:sz w:val="18"/>
                <w:szCs w:val="18"/>
              </w:rPr>
              <w:t>5-9</w:t>
            </w:r>
            <w:r>
              <w:rPr>
                <w:rFonts w:ascii="宋体" w:hAnsi="宋体" w:eastAsia="宋体" w:cs="宋体"/>
                <w:color w:val="333333"/>
                <w:spacing w:val="-3"/>
                <w:sz w:val="18"/>
                <w:szCs w:val="18"/>
              </w:rPr>
              <w:t>月</w:t>
            </w:r>
          </w:p>
        </w:tc>
        <w:tc>
          <w:tcPr>
            <w:tcW w:w="990" w:type="dxa"/>
            <w:vAlign w:val="top"/>
          </w:tcPr>
          <w:p w14:paraId="6BFADBDA">
            <w:pPr>
              <w:spacing w:before="190" w:line="196" w:lineRule="auto"/>
              <w:ind w:left="367"/>
              <w:rPr>
                <w:rFonts w:ascii="Arial" w:hAnsi="Arial" w:eastAsia="Arial" w:cs="Arial"/>
                <w:sz w:val="18"/>
                <w:szCs w:val="18"/>
              </w:rPr>
            </w:pPr>
            <w:r>
              <w:rPr>
                <w:rFonts w:ascii="Arial" w:hAnsi="Arial" w:eastAsia="Arial" w:cs="Arial"/>
                <w:color w:val="333333"/>
                <w:spacing w:val="-1"/>
                <w:sz w:val="18"/>
                <w:szCs w:val="18"/>
              </w:rPr>
              <w:t>450</w:t>
            </w:r>
          </w:p>
        </w:tc>
        <w:tc>
          <w:tcPr>
            <w:tcW w:w="1012" w:type="dxa"/>
            <w:vAlign w:val="top"/>
          </w:tcPr>
          <w:p w14:paraId="14D9198A">
            <w:pPr>
              <w:spacing w:before="190" w:line="196" w:lineRule="auto"/>
              <w:ind w:left="387"/>
              <w:rPr>
                <w:rFonts w:ascii="Arial" w:hAnsi="Arial" w:eastAsia="Arial" w:cs="Arial"/>
                <w:sz w:val="18"/>
                <w:szCs w:val="18"/>
              </w:rPr>
            </w:pPr>
            <w:r>
              <w:rPr>
                <w:rFonts w:ascii="Arial" w:hAnsi="Arial" w:eastAsia="Arial" w:cs="Arial"/>
                <w:color w:val="333333"/>
                <w:spacing w:val="-4"/>
                <w:sz w:val="18"/>
                <w:szCs w:val="18"/>
              </w:rPr>
              <w:t>300</w:t>
            </w:r>
          </w:p>
        </w:tc>
      </w:tr>
    </w:tbl>
    <w:p w14:paraId="60B5D421">
      <w:pPr>
        <w:rPr>
          <w:rFonts w:ascii="Arial"/>
          <w:sz w:val="21"/>
        </w:rPr>
      </w:pPr>
    </w:p>
    <w:p w14:paraId="43D15918">
      <w:pPr>
        <w:rPr>
          <w:rFonts w:ascii="Arial" w:hAnsi="Arial" w:eastAsia="Arial" w:cs="Arial"/>
          <w:sz w:val="21"/>
          <w:szCs w:val="21"/>
        </w:rPr>
        <w:sectPr>
          <w:pgSz w:w="11905" w:h="16837"/>
          <w:pgMar w:top="400" w:right="307" w:bottom="400" w:left="327" w:header="0" w:footer="283" w:gutter="0"/>
          <w:pgNumType w:fmt="decimal"/>
          <w:cols w:space="720" w:num="1"/>
        </w:sectPr>
      </w:pPr>
    </w:p>
    <w:p w14:paraId="38FA8B7E">
      <w:pPr>
        <w:spacing w:line="210" w:lineRule="exact"/>
      </w:pPr>
    </w:p>
    <w:tbl>
      <w:tblPr>
        <w:tblStyle w:val="6"/>
        <w:tblW w:w="112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3"/>
        <w:gridCol w:w="620"/>
        <w:gridCol w:w="2564"/>
        <w:gridCol w:w="2564"/>
        <w:gridCol w:w="1021"/>
        <w:gridCol w:w="990"/>
        <w:gridCol w:w="991"/>
        <w:gridCol w:w="990"/>
        <w:gridCol w:w="1012"/>
      </w:tblGrid>
      <w:tr w14:paraId="08545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13" w:type="dxa"/>
            <w:vMerge w:val="restart"/>
            <w:tcBorders>
              <w:bottom w:val="nil"/>
            </w:tcBorders>
            <w:vAlign w:val="top"/>
          </w:tcPr>
          <w:p w14:paraId="6D2366AC">
            <w:pPr>
              <w:spacing w:line="357" w:lineRule="auto"/>
              <w:rPr>
                <w:rFonts w:ascii="Arial"/>
                <w:sz w:val="21"/>
              </w:rPr>
            </w:pPr>
          </w:p>
          <w:p w14:paraId="20C228B8">
            <w:pPr>
              <w:spacing w:before="52" w:line="196" w:lineRule="auto"/>
              <w:ind w:left="179"/>
              <w:rPr>
                <w:rFonts w:ascii="Arial" w:hAnsi="Arial" w:eastAsia="Arial" w:cs="Arial"/>
                <w:sz w:val="18"/>
                <w:szCs w:val="18"/>
              </w:rPr>
            </w:pPr>
            <w:r>
              <w:rPr>
                <w:rFonts w:ascii="Arial" w:hAnsi="Arial" w:eastAsia="Arial" w:cs="Arial"/>
                <w:color w:val="333333"/>
                <w:spacing w:val="-4"/>
                <w:sz w:val="18"/>
                <w:szCs w:val="18"/>
              </w:rPr>
              <w:t>35</w:t>
            </w:r>
          </w:p>
        </w:tc>
        <w:tc>
          <w:tcPr>
            <w:tcW w:w="620" w:type="dxa"/>
            <w:vMerge w:val="restart"/>
            <w:tcBorders>
              <w:bottom w:val="nil"/>
            </w:tcBorders>
            <w:vAlign w:val="top"/>
          </w:tcPr>
          <w:p w14:paraId="08FC7A9A">
            <w:pPr>
              <w:spacing w:line="348" w:lineRule="auto"/>
              <w:rPr>
                <w:rFonts w:ascii="Arial"/>
                <w:sz w:val="21"/>
              </w:rPr>
            </w:pPr>
          </w:p>
          <w:p w14:paraId="055D3DA7">
            <w:pPr>
              <w:spacing w:before="59" w:line="221" w:lineRule="auto"/>
              <w:ind w:left="169"/>
              <w:rPr>
                <w:rFonts w:ascii="宋体" w:hAnsi="宋体" w:eastAsia="宋体" w:cs="宋体"/>
                <w:sz w:val="18"/>
                <w:szCs w:val="18"/>
              </w:rPr>
            </w:pPr>
            <w:r>
              <w:rPr>
                <w:rFonts w:ascii="宋体" w:hAnsi="宋体" w:eastAsia="宋体" w:cs="宋体"/>
                <w:color w:val="333333"/>
                <w:spacing w:val="-9"/>
                <w:sz w:val="18"/>
                <w:szCs w:val="18"/>
              </w:rPr>
              <w:t>宁夏</w:t>
            </w:r>
          </w:p>
        </w:tc>
        <w:tc>
          <w:tcPr>
            <w:tcW w:w="2564" w:type="dxa"/>
            <w:vAlign w:val="top"/>
          </w:tcPr>
          <w:p w14:paraId="3DA756E5">
            <w:pPr>
              <w:spacing w:before="179" w:line="219" w:lineRule="auto"/>
              <w:ind w:left="1031"/>
              <w:rPr>
                <w:rFonts w:ascii="宋体" w:hAnsi="宋体" w:eastAsia="宋体" w:cs="宋体"/>
                <w:sz w:val="18"/>
                <w:szCs w:val="18"/>
              </w:rPr>
            </w:pPr>
            <w:r>
              <w:rPr>
                <w:rFonts w:ascii="宋体" w:hAnsi="宋体" w:eastAsia="宋体" w:cs="宋体"/>
                <w:color w:val="333333"/>
                <w:spacing w:val="-5"/>
                <w:sz w:val="18"/>
                <w:szCs w:val="18"/>
              </w:rPr>
              <w:t>银川市</w:t>
            </w:r>
          </w:p>
        </w:tc>
        <w:tc>
          <w:tcPr>
            <w:tcW w:w="2564" w:type="dxa"/>
            <w:vAlign w:val="top"/>
          </w:tcPr>
          <w:p w14:paraId="473C2FEE">
            <w:pPr>
              <w:spacing w:before="181" w:line="196" w:lineRule="auto"/>
              <w:ind w:left="1137"/>
              <w:rPr>
                <w:rFonts w:ascii="Arial" w:hAnsi="Arial" w:eastAsia="Arial" w:cs="Arial"/>
                <w:sz w:val="18"/>
                <w:szCs w:val="18"/>
              </w:rPr>
            </w:pPr>
            <w:r>
              <w:rPr>
                <w:rFonts w:ascii="Arial" w:hAnsi="Arial" w:eastAsia="Arial" w:cs="Arial"/>
                <w:color w:val="333333"/>
                <w:spacing w:val="-1"/>
                <w:sz w:val="18"/>
                <w:szCs w:val="18"/>
              </w:rPr>
              <w:t>470</w:t>
            </w:r>
          </w:p>
        </w:tc>
        <w:tc>
          <w:tcPr>
            <w:tcW w:w="1021" w:type="dxa"/>
            <w:vAlign w:val="top"/>
          </w:tcPr>
          <w:p w14:paraId="30DC3D19">
            <w:pPr>
              <w:spacing w:before="181"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78482F5A">
            <w:pPr>
              <w:spacing w:line="268" w:lineRule="auto"/>
              <w:rPr>
                <w:rFonts w:ascii="Arial"/>
                <w:sz w:val="21"/>
              </w:rPr>
            </w:pPr>
          </w:p>
          <w:p w14:paraId="3DEA46E3">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532C76B3">
            <w:pPr>
              <w:spacing w:line="268" w:lineRule="auto"/>
              <w:rPr>
                <w:rFonts w:ascii="Arial"/>
                <w:sz w:val="21"/>
              </w:rPr>
            </w:pPr>
          </w:p>
          <w:p w14:paraId="6CD25F9A">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6CCDDF64">
            <w:pPr>
              <w:spacing w:line="268" w:lineRule="auto"/>
              <w:rPr>
                <w:rFonts w:ascii="Arial"/>
                <w:sz w:val="21"/>
              </w:rPr>
            </w:pPr>
          </w:p>
          <w:p w14:paraId="2E248851">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6304D421">
            <w:pPr>
              <w:spacing w:line="268" w:lineRule="auto"/>
              <w:rPr>
                <w:rFonts w:ascii="Arial"/>
                <w:sz w:val="21"/>
              </w:rPr>
            </w:pPr>
          </w:p>
          <w:p w14:paraId="7D863B1B">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6D0C0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13" w:type="dxa"/>
            <w:vMerge w:val="continue"/>
            <w:tcBorders>
              <w:top w:val="nil"/>
            </w:tcBorders>
            <w:vAlign w:val="top"/>
          </w:tcPr>
          <w:p w14:paraId="36159998">
            <w:pPr>
              <w:rPr>
                <w:rFonts w:ascii="Arial"/>
                <w:sz w:val="21"/>
              </w:rPr>
            </w:pPr>
          </w:p>
        </w:tc>
        <w:tc>
          <w:tcPr>
            <w:tcW w:w="620" w:type="dxa"/>
            <w:vMerge w:val="continue"/>
            <w:tcBorders>
              <w:top w:val="nil"/>
            </w:tcBorders>
            <w:vAlign w:val="top"/>
          </w:tcPr>
          <w:p w14:paraId="254D74FD">
            <w:pPr>
              <w:rPr>
                <w:rFonts w:ascii="Arial"/>
                <w:sz w:val="21"/>
              </w:rPr>
            </w:pPr>
          </w:p>
        </w:tc>
        <w:tc>
          <w:tcPr>
            <w:tcW w:w="2564" w:type="dxa"/>
            <w:vAlign w:val="top"/>
          </w:tcPr>
          <w:p w14:paraId="57C069A3">
            <w:pPr>
              <w:spacing w:before="161" w:line="220" w:lineRule="auto"/>
              <w:ind w:left="940"/>
              <w:rPr>
                <w:rFonts w:ascii="宋体" w:hAnsi="宋体" w:eastAsia="宋体" w:cs="宋体"/>
                <w:sz w:val="18"/>
                <w:szCs w:val="18"/>
              </w:rPr>
            </w:pPr>
            <w:r>
              <w:rPr>
                <w:rFonts w:ascii="宋体" w:hAnsi="宋体" w:eastAsia="宋体" w:cs="宋体"/>
                <w:color w:val="333333"/>
                <w:spacing w:val="-4"/>
                <w:sz w:val="18"/>
                <w:szCs w:val="18"/>
              </w:rPr>
              <w:t>其他地区</w:t>
            </w:r>
          </w:p>
        </w:tc>
        <w:tc>
          <w:tcPr>
            <w:tcW w:w="2564" w:type="dxa"/>
            <w:vAlign w:val="top"/>
          </w:tcPr>
          <w:p w14:paraId="097E4243">
            <w:pPr>
              <w:spacing w:before="165" w:line="196" w:lineRule="auto"/>
              <w:ind w:left="1137"/>
              <w:rPr>
                <w:rFonts w:ascii="Arial" w:hAnsi="Arial" w:eastAsia="Arial" w:cs="Arial"/>
                <w:sz w:val="18"/>
                <w:szCs w:val="18"/>
              </w:rPr>
            </w:pPr>
            <w:r>
              <w:rPr>
                <w:rFonts w:ascii="Arial" w:hAnsi="Arial" w:eastAsia="Arial" w:cs="Arial"/>
                <w:color w:val="333333"/>
                <w:spacing w:val="-1"/>
                <w:sz w:val="18"/>
                <w:szCs w:val="18"/>
              </w:rPr>
              <w:t>430</w:t>
            </w:r>
          </w:p>
        </w:tc>
        <w:tc>
          <w:tcPr>
            <w:tcW w:w="1021" w:type="dxa"/>
            <w:vAlign w:val="top"/>
          </w:tcPr>
          <w:p w14:paraId="6283365C">
            <w:pPr>
              <w:spacing w:before="165" w:line="196" w:lineRule="auto"/>
              <w:ind w:left="386"/>
              <w:rPr>
                <w:rFonts w:ascii="Arial" w:hAnsi="Arial" w:eastAsia="Arial" w:cs="Arial"/>
                <w:sz w:val="18"/>
                <w:szCs w:val="18"/>
              </w:rPr>
            </w:pPr>
            <w:r>
              <w:rPr>
                <w:rFonts w:ascii="Arial" w:hAnsi="Arial" w:eastAsia="Arial" w:cs="Arial"/>
                <w:color w:val="333333"/>
                <w:spacing w:val="-4"/>
                <w:sz w:val="18"/>
                <w:szCs w:val="18"/>
              </w:rPr>
              <w:t>330</w:t>
            </w:r>
          </w:p>
        </w:tc>
        <w:tc>
          <w:tcPr>
            <w:tcW w:w="990" w:type="dxa"/>
            <w:vAlign w:val="top"/>
          </w:tcPr>
          <w:p w14:paraId="0FE364B7">
            <w:pPr>
              <w:spacing w:line="250" w:lineRule="auto"/>
              <w:rPr>
                <w:rFonts w:ascii="Arial"/>
                <w:sz w:val="21"/>
              </w:rPr>
            </w:pPr>
          </w:p>
          <w:p w14:paraId="178664BE">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088FCB57">
            <w:pPr>
              <w:spacing w:line="250" w:lineRule="auto"/>
              <w:rPr>
                <w:rFonts w:ascii="Arial"/>
                <w:sz w:val="21"/>
              </w:rPr>
            </w:pPr>
          </w:p>
          <w:p w14:paraId="36EE9B7E">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6B434799">
            <w:pPr>
              <w:spacing w:line="250" w:lineRule="auto"/>
              <w:rPr>
                <w:rFonts w:ascii="Arial"/>
                <w:sz w:val="21"/>
              </w:rPr>
            </w:pPr>
          </w:p>
          <w:p w14:paraId="648A0767">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0C7D2DD8">
            <w:pPr>
              <w:spacing w:line="250" w:lineRule="auto"/>
              <w:rPr>
                <w:rFonts w:ascii="Arial"/>
                <w:sz w:val="21"/>
              </w:rPr>
            </w:pPr>
          </w:p>
          <w:p w14:paraId="0FCFF124">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56E71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13" w:type="dxa"/>
            <w:vMerge w:val="restart"/>
            <w:tcBorders>
              <w:bottom w:val="nil"/>
            </w:tcBorders>
            <w:vAlign w:val="top"/>
          </w:tcPr>
          <w:p w14:paraId="454FF64E">
            <w:pPr>
              <w:spacing w:line="242" w:lineRule="auto"/>
              <w:rPr>
                <w:rFonts w:ascii="Arial"/>
                <w:sz w:val="21"/>
              </w:rPr>
            </w:pPr>
          </w:p>
          <w:p w14:paraId="13B4A2C9">
            <w:pPr>
              <w:spacing w:line="242" w:lineRule="auto"/>
              <w:rPr>
                <w:rFonts w:ascii="Arial"/>
                <w:sz w:val="21"/>
              </w:rPr>
            </w:pPr>
          </w:p>
          <w:p w14:paraId="4887E639">
            <w:pPr>
              <w:spacing w:line="243" w:lineRule="auto"/>
              <w:rPr>
                <w:rFonts w:ascii="Arial"/>
                <w:sz w:val="21"/>
              </w:rPr>
            </w:pPr>
          </w:p>
          <w:p w14:paraId="0B35DE9E">
            <w:pPr>
              <w:spacing w:line="243" w:lineRule="auto"/>
              <w:rPr>
                <w:rFonts w:ascii="Arial"/>
                <w:sz w:val="21"/>
              </w:rPr>
            </w:pPr>
          </w:p>
          <w:p w14:paraId="4D9B3A89">
            <w:pPr>
              <w:spacing w:line="243" w:lineRule="auto"/>
              <w:rPr>
                <w:rFonts w:ascii="Arial"/>
                <w:sz w:val="21"/>
              </w:rPr>
            </w:pPr>
          </w:p>
          <w:p w14:paraId="4A0C98BD">
            <w:pPr>
              <w:spacing w:line="243" w:lineRule="auto"/>
              <w:rPr>
                <w:rFonts w:ascii="Arial"/>
                <w:sz w:val="21"/>
              </w:rPr>
            </w:pPr>
          </w:p>
          <w:p w14:paraId="05B5C9B7">
            <w:pPr>
              <w:spacing w:line="243" w:lineRule="auto"/>
              <w:rPr>
                <w:rFonts w:ascii="Arial"/>
                <w:sz w:val="21"/>
              </w:rPr>
            </w:pPr>
          </w:p>
          <w:p w14:paraId="488DBE17">
            <w:pPr>
              <w:spacing w:before="52" w:line="196" w:lineRule="auto"/>
              <w:ind w:left="179"/>
              <w:rPr>
                <w:rFonts w:ascii="Arial" w:hAnsi="Arial" w:eastAsia="Arial" w:cs="Arial"/>
                <w:sz w:val="18"/>
                <w:szCs w:val="18"/>
              </w:rPr>
            </w:pPr>
            <w:r>
              <w:rPr>
                <w:rFonts w:ascii="Arial" w:hAnsi="Arial" w:eastAsia="Arial" w:cs="Arial"/>
                <w:color w:val="333333"/>
                <w:spacing w:val="-4"/>
                <w:sz w:val="18"/>
                <w:szCs w:val="18"/>
              </w:rPr>
              <w:t>36</w:t>
            </w:r>
          </w:p>
        </w:tc>
        <w:tc>
          <w:tcPr>
            <w:tcW w:w="620" w:type="dxa"/>
            <w:vMerge w:val="restart"/>
            <w:tcBorders>
              <w:bottom w:val="nil"/>
            </w:tcBorders>
            <w:vAlign w:val="top"/>
          </w:tcPr>
          <w:p w14:paraId="35ED1312">
            <w:pPr>
              <w:spacing w:line="241" w:lineRule="auto"/>
              <w:rPr>
                <w:rFonts w:ascii="Arial"/>
                <w:sz w:val="21"/>
              </w:rPr>
            </w:pPr>
          </w:p>
          <w:p w14:paraId="46BB1AC6">
            <w:pPr>
              <w:spacing w:line="241" w:lineRule="auto"/>
              <w:rPr>
                <w:rFonts w:ascii="Arial"/>
                <w:sz w:val="21"/>
              </w:rPr>
            </w:pPr>
          </w:p>
          <w:p w14:paraId="77CFEF04">
            <w:pPr>
              <w:spacing w:line="241" w:lineRule="auto"/>
              <w:rPr>
                <w:rFonts w:ascii="Arial"/>
                <w:sz w:val="21"/>
              </w:rPr>
            </w:pPr>
          </w:p>
          <w:p w14:paraId="05669FB5">
            <w:pPr>
              <w:spacing w:line="241" w:lineRule="auto"/>
              <w:rPr>
                <w:rFonts w:ascii="Arial"/>
                <w:sz w:val="21"/>
              </w:rPr>
            </w:pPr>
          </w:p>
          <w:p w14:paraId="03B12EF6">
            <w:pPr>
              <w:spacing w:line="241" w:lineRule="auto"/>
              <w:rPr>
                <w:rFonts w:ascii="Arial"/>
                <w:sz w:val="21"/>
              </w:rPr>
            </w:pPr>
          </w:p>
          <w:p w14:paraId="033D7EFE">
            <w:pPr>
              <w:spacing w:line="241" w:lineRule="auto"/>
              <w:rPr>
                <w:rFonts w:ascii="Arial"/>
                <w:sz w:val="21"/>
              </w:rPr>
            </w:pPr>
          </w:p>
          <w:p w14:paraId="3EE57B6E">
            <w:pPr>
              <w:spacing w:line="242" w:lineRule="auto"/>
              <w:rPr>
                <w:rFonts w:ascii="Arial"/>
                <w:sz w:val="21"/>
              </w:rPr>
            </w:pPr>
          </w:p>
          <w:p w14:paraId="4339D990">
            <w:pPr>
              <w:spacing w:before="59" w:line="220" w:lineRule="auto"/>
              <w:ind w:left="144"/>
              <w:rPr>
                <w:rFonts w:ascii="宋体" w:hAnsi="宋体" w:eastAsia="宋体" w:cs="宋体"/>
                <w:sz w:val="18"/>
                <w:szCs w:val="18"/>
              </w:rPr>
            </w:pPr>
            <w:r>
              <w:rPr>
                <w:rFonts w:ascii="宋体" w:hAnsi="宋体" w:eastAsia="宋体" w:cs="宋体"/>
                <w:color w:val="333333"/>
                <w:spacing w:val="-4"/>
                <w:sz w:val="18"/>
                <w:szCs w:val="18"/>
              </w:rPr>
              <w:t>新疆</w:t>
            </w:r>
          </w:p>
        </w:tc>
        <w:tc>
          <w:tcPr>
            <w:tcW w:w="2564" w:type="dxa"/>
            <w:vAlign w:val="top"/>
          </w:tcPr>
          <w:p w14:paraId="2C332B87">
            <w:pPr>
              <w:spacing w:before="164" w:line="219" w:lineRule="auto"/>
              <w:ind w:left="854"/>
              <w:rPr>
                <w:rFonts w:ascii="宋体" w:hAnsi="宋体" w:eastAsia="宋体" w:cs="宋体"/>
                <w:sz w:val="18"/>
                <w:szCs w:val="18"/>
              </w:rPr>
            </w:pPr>
            <w:r>
              <w:rPr>
                <w:rFonts w:ascii="宋体" w:hAnsi="宋体" w:eastAsia="宋体" w:cs="宋体"/>
                <w:color w:val="333333"/>
                <w:spacing w:val="-5"/>
                <w:sz w:val="18"/>
                <w:szCs w:val="18"/>
              </w:rPr>
              <w:t>乌鲁木齐市</w:t>
            </w:r>
          </w:p>
        </w:tc>
        <w:tc>
          <w:tcPr>
            <w:tcW w:w="2564" w:type="dxa"/>
            <w:vAlign w:val="top"/>
          </w:tcPr>
          <w:p w14:paraId="66F2763E">
            <w:pPr>
              <w:spacing w:before="165"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729D7E5F">
            <w:pPr>
              <w:spacing w:before="165" w:line="196" w:lineRule="auto"/>
              <w:ind w:left="386"/>
              <w:rPr>
                <w:rFonts w:ascii="Arial" w:hAnsi="Arial" w:eastAsia="Arial" w:cs="Arial"/>
                <w:sz w:val="18"/>
                <w:szCs w:val="18"/>
              </w:rPr>
            </w:pPr>
            <w:r>
              <w:rPr>
                <w:rFonts w:ascii="Arial" w:hAnsi="Arial" w:eastAsia="Arial" w:cs="Arial"/>
                <w:color w:val="333333"/>
                <w:spacing w:val="-4"/>
                <w:sz w:val="18"/>
                <w:szCs w:val="18"/>
              </w:rPr>
              <w:t>350</w:t>
            </w:r>
          </w:p>
        </w:tc>
        <w:tc>
          <w:tcPr>
            <w:tcW w:w="990" w:type="dxa"/>
            <w:vAlign w:val="top"/>
          </w:tcPr>
          <w:p w14:paraId="6D8CCDD3">
            <w:pPr>
              <w:spacing w:line="253" w:lineRule="auto"/>
              <w:rPr>
                <w:rFonts w:ascii="Arial"/>
                <w:sz w:val="21"/>
              </w:rPr>
            </w:pPr>
          </w:p>
          <w:p w14:paraId="4293B239">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7AA7D999">
            <w:pPr>
              <w:spacing w:line="253" w:lineRule="auto"/>
              <w:rPr>
                <w:rFonts w:ascii="Arial"/>
                <w:sz w:val="21"/>
              </w:rPr>
            </w:pPr>
          </w:p>
          <w:p w14:paraId="5E5915D3">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679F5F8F">
            <w:pPr>
              <w:spacing w:line="253" w:lineRule="auto"/>
              <w:rPr>
                <w:rFonts w:ascii="Arial"/>
                <w:sz w:val="21"/>
              </w:rPr>
            </w:pPr>
          </w:p>
          <w:p w14:paraId="0941DA00">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23626E83">
            <w:pPr>
              <w:spacing w:line="253" w:lineRule="auto"/>
              <w:rPr>
                <w:rFonts w:ascii="Arial"/>
                <w:sz w:val="21"/>
              </w:rPr>
            </w:pPr>
          </w:p>
          <w:p w14:paraId="59281A70">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7EA2B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513" w:type="dxa"/>
            <w:vMerge w:val="continue"/>
            <w:tcBorders>
              <w:top w:val="nil"/>
              <w:bottom w:val="nil"/>
            </w:tcBorders>
            <w:vAlign w:val="top"/>
          </w:tcPr>
          <w:p w14:paraId="695BC996">
            <w:pPr>
              <w:rPr>
                <w:rFonts w:ascii="Arial"/>
                <w:sz w:val="21"/>
              </w:rPr>
            </w:pPr>
          </w:p>
        </w:tc>
        <w:tc>
          <w:tcPr>
            <w:tcW w:w="620" w:type="dxa"/>
            <w:vMerge w:val="continue"/>
            <w:tcBorders>
              <w:top w:val="nil"/>
              <w:bottom w:val="nil"/>
            </w:tcBorders>
            <w:vAlign w:val="top"/>
          </w:tcPr>
          <w:p w14:paraId="74EA38D4">
            <w:pPr>
              <w:rPr>
                <w:rFonts w:ascii="Arial"/>
                <w:sz w:val="21"/>
              </w:rPr>
            </w:pPr>
          </w:p>
        </w:tc>
        <w:tc>
          <w:tcPr>
            <w:tcW w:w="2564" w:type="dxa"/>
            <w:vAlign w:val="top"/>
          </w:tcPr>
          <w:p w14:paraId="1C690424">
            <w:pPr>
              <w:spacing w:before="265" w:line="219" w:lineRule="auto"/>
              <w:ind w:left="131"/>
              <w:rPr>
                <w:rFonts w:ascii="宋体" w:hAnsi="宋体" w:eastAsia="宋体" w:cs="宋体"/>
                <w:sz w:val="18"/>
                <w:szCs w:val="18"/>
              </w:rPr>
            </w:pPr>
            <w:r>
              <w:rPr>
                <w:rFonts w:ascii="宋体" w:hAnsi="宋体" w:eastAsia="宋体" w:cs="宋体"/>
                <w:color w:val="333333"/>
                <w:spacing w:val="-3"/>
                <w:sz w:val="18"/>
                <w:szCs w:val="18"/>
              </w:rPr>
              <w:t>石河子市、克拉玛依市、昌吉</w:t>
            </w:r>
          </w:p>
          <w:p w14:paraId="1AA4F8DC">
            <w:pPr>
              <w:spacing w:before="7" w:line="219" w:lineRule="auto"/>
              <w:ind w:left="131"/>
              <w:rPr>
                <w:rFonts w:ascii="宋体" w:hAnsi="宋体" w:eastAsia="宋体" w:cs="宋体"/>
                <w:sz w:val="18"/>
                <w:szCs w:val="18"/>
              </w:rPr>
            </w:pPr>
            <w:r>
              <w:rPr>
                <w:rFonts w:ascii="宋体" w:hAnsi="宋体" w:eastAsia="宋体" w:cs="宋体"/>
                <w:color w:val="333333"/>
                <w:spacing w:val="-1"/>
                <w:sz w:val="18"/>
                <w:szCs w:val="18"/>
              </w:rPr>
              <w:t>州、伊犁州、阿勒泰地区、博</w:t>
            </w:r>
          </w:p>
          <w:p w14:paraId="2C7A9CEE">
            <w:pPr>
              <w:spacing w:before="9" w:line="219" w:lineRule="auto"/>
              <w:ind w:left="131"/>
              <w:rPr>
                <w:rFonts w:ascii="宋体" w:hAnsi="宋体" w:eastAsia="宋体" w:cs="宋体"/>
                <w:sz w:val="18"/>
                <w:szCs w:val="18"/>
              </w:rPr>
            </w:pPr>
            <w:r>
              <w:rPr>
                <w:rFonts w:ascii="宋体" w:hAnsi="宋体" w:eastAsia="宋体" w:cs="宋体"/>
                <w:color w:val="333333"/>
                <w:spacing w:val="3"/>
                <w:sz w:val="18"/>
                <w:szCs w:val="18"/>
              </w:rPr>
              <w:t>州、吐鲁番市、哈密地区、巴</w:t>
            </w:r>
          </w:p>
          <w:p w14:paraId="24DA7CBE">
            <w:pPr>
              <w:spacing w:before="12" w:line="219" w:lineRule="auto"/>
              <w:ind w:left="760"/>
              <w:rPr>
                <w:rFonts w:ascii="宋体" w:hAnsi="宋体" w:eastAsia="宋体" w:cs="宋体"/>
                <w:sz w:val="18"/>
                <w:szCs w:val="18"/>
              </w:rPr>
            </w:pPr>
            <w:r>
              <w:rPr>
                <w:rFonts w:ascii="宋体" w:hAnsi="宋体" w:eastAsia="宋体" w:cs="宋体"/>
                <w:color w:val="333333"/>
                <w:spacing w:val="-4"/>
                <w:sz w:val="18"/>
                <w:szCs w:val="18"/>
              </w:rPr>
              <w:t>州、和田地区</w:t>
            </w:r>
          </w:p>
        </w:tc>
        <w:tc>
          <w:tcPr>
            <w:tcW w:w="2564" w:type="dxa"/>
            <w:vAlign w:val="top"/>
          </w:tcPr>
          <w:p w14:paraId="19522B08">
            <w:pPr>
              <w:spacing w:line="275" w:lineRule="auto"/>
              <w:rPr>
                <w:rFonts w:ascii="Arial"/>
                <w:sz w:val="21"/>
              </w:rPr>
            </w:pPr>
          </w:p>
          <w:p w14:paraId="54C75208">
            <w:pPr>
              <w:spacing w:line="275" w:lineRule="auto"/>
              <w:rPr>
                <w:rFonts w:ascii="Arial"/>
                <w:sz w:val="21"/>
              </w:rPr>
            </w:pPr>
          </w:p>
          <w:p w14:paraId="34D13786">
            <w:pPr>
              <w:spacing w:before="52"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2A63CE6B">
            <w:pPr>
              <w:spacing w:line="275" w:lineRule="auto"/>
              <w:rPr>
                <w:rFonts w:ascii="Arial"/>
                <w:sz w:val="21"/>
              </w:rPr>
            </w:pPr>
          </w:p>
          <w:p w14:paraId="0762DBC9">
            <w:pPr>
              <w:spacing w:line="275" w:lineRule="auto"/>
              <w:rPr>
                <w:rFonts w:ascii="Arial"/>
                <w:sz w:val="21"/>
              </w:rPr>
            </w:pPr>
          </w:p>
          <w:p w14:paraId="26C2B069">
            <w:pPr>
              <w:spacing w:before="52" w:line="196" w:lineRule="auto"/>
              <w:ind w:left="386"/>
              <w:rPr>
                <w:rFonts w:ascii="Arial" w:hAnsi="Arial" w:eastAsia="Arial" w:cs="Arial"/>
                <w:sz w:val="18"/>
                <w:szCs w:val="18"/>
              </w:rPr>
            </w:pPr>
            <w:r>
              <w:rPr>
                <w:rFonts w:ascii="Arial" w:hAnsi="Arial" w:eastAsia="Arial" w:cs="Arial"/>
                <w:color w:val="333333"/>
                <w:spacing w:val="-4"/>
                <w:sz w:val="18"/>
                <w:szCs w:val="18"/>
              </w:rPr>
              <w:t>340</w:t>
            </w:r>
          </w:p>
        </w:tc>
        <w:tc>
          <w:tcPr>
            <w:tcW w:w="990" w:type="dxa"/>
            <w:vAlign w:val="top"/>
          </w:tcPr>
          <w:p w14:paraId="0670393E">
            <w:pPr>
              <w:spacing w:line="345" w:lineRule="auto"/>
              <w:rPr>
                <w:rFonts w:ascii="Arial"/>
                <w:sz w:val="21"/>
              </w:rPr>
            </w:pPr>
          </w:p>
          <w:p w14:paraId="39411E3C">
            <w:pPr>
              <w:spacing w:line="345" w:lineRule="auto"/>
              <w:rPr>
                <w:rFonts w:ascii="Arial"/>
                <w:sz w:val="21"/>
              </w:rPr>
            </w:pPr>
          </w:p>
          <w:p w14:paraId="67FB7E67">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276B99E8">
            <w:pPr>
              <w:spacing w:line="345" w:lineRule="auto"/>
              <w:rPr>
                <w:rFonts w:ascii="Arial"/>
                <w:sz w:val="21"/>
              </w:rPr>
            </w:pPr>
          </w:p>
          <w:p w14:paraId="6D7880E6">
            <w:pPr>
              <w:spacing w:line="345" w:lineRule="auto"/>
              <w:rPr>
                <w:rFonts w:ascii="Arial"/>
                <w:sz w:val="21"/>
              </w:rPr>
            </w:pPr>
          </w:p>
          <w:p w14:paraId="3ADEE1E0">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7B3347F6">
            <w:pPr>
              <w:spacing w:line="345" w:lineRule="auto"/>
              <w:rPr>
                <w:rFonts w:ascii="Arial"/>
                <w:sz w:val="21"/>
              </w:rPr>
            </w:pPr>
          </w:p>
          <w:p w14:paraId="4A709259">
            <w:pPr>
              <w:spacing w:line="345" w:lineRule="auto"/>
              <w:rPr>
                <w:rFonts w:ascii="Arial"/>
                <w:sz w:val="21"/>
              </w:rPr>
            </w:pPr>
          </w:p>
          <w:p w14:paraId="5877EC1E">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687DDCC5">
            <w:pPr>
              <w:spacing w:line="345" w:lineRule="auto"/>
              <w:rPr>
                <w:rFonts w:ascii="Arial"/>
                <w:sz w:val="21"/>
              </w:rPr>
            </w:pPr>
          </w:p>
          <w:p w14:paraId="0F097310">
            <w:pPr>
              <w:spacing w:line="345" w:lineRule="auto"/>
              <w:rPr>
                <w:rFonts w:ascii="Arial"/>
                <w:sz w:val="21"/>
              </w:rPr>
            </w:pPr>
          </w:p>
          <w:p w14:paraId="620AAD56">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6CE00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13" w:type="dxa"/>
            <w:vMerge w:val="continue"/>
            <w:tcBorders>
              <w:top w:val="nil"/>
              <w:bottom w:val="nil"/>
            </w:tcBorders>
            <w:vAlign w:val="top"/>
          </w:tcPr>
          <w:p w14:paraId="5E29D332">
            <w:pPr>
              <w:rPr>
                <w:rFonts w:ascii="Arial"/>
                <w:sz w:val="21"/>
              </w:rPr>
            </w:pPr>
          </w:p>
        </w:tc>
        <w:tc>
          <w:tcPr>
            <w:tcW w:w="620" w:type="dxa"/>
            <w:vMerge w:val="continue"/>
            <w:tcBorders>
              <w:top w:val="nil"/>
              <w:bottom w:val="nil"/>
            </w:tcBorders>
            <w:vAlign w:val="top"/>
          </w:tcPr>
          <w:p w14:paraId="2BF463DE">
            <w:pPr>
              <w:rPr>
                <w:rFonts w:ascii="Arial"/>
                <w:sz w:val="21"/>
              </w:rPr>
            </w:pPr>
          </w:p>
        </w:tc>
        <w:tc>
          <w:tcPr>
            <w:tcW w:w="2564" w:type="dxa"/>
            <w:vAlign w:val="top"/>
          </w:tcPr>
          <w:p w14:paraId="64217384">
            <w:pPr>
              <w:spacing w:before="175" w:line="219" w:lineRule="auto"/>
              <w:ind w:left="1130"/>
              <w:rPr>
                <w:rFonts w:ascii="宋体" w:hAnsi="宋体" w:eastAsia="宋体" w:cs="宋体"/>
                <w:sz w:val="18"/>
                <w:szCs w:val="18"/>
              </w:rPr>
            </w:pPr>
            <w:r>
              <w:rPr>
                <w:rFonts w:ascii="宋体" w:hAnsi="宋体" w:eastAsia="宋体" w:cs="宋体"/>
                <w:color w:val="333333"/>
                <w:spacing w:val="-6"/>
                <w:sz w:val="18"/>
                <w:szCs w:val="18"/>
              </w:rPr>
              <w:t>克州</w:t>
            </w:r>
          </w:p>
        </w:tc>
        <w:tc>
          <w:tcPr>
            <w:tcW w:w="2564" w:type="dxa"/>
            <w:vAlign w:val="top"/>
          </w:tcPr>
          <w:p w14:paraId="191FD5C8">
            <w:pPr>
              <w:spacing w:before="177"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5BA10A11">
            <w:pPr>
              <w:spacing w:before="177" w:line="196" w:lineRule="auto"/>
              <w:ind w:left="386"/>
              <w:rPr>
                <w:rFonts w:ascii="Arial" w:hAnsi="Arial" w:eastAsia="Arial" w:cs="Arial"/>
                <w:sz w:val="18"/>
                <w:szCs w:val="18"/>
              </w:rPr>
            </w:pPr>
            <w:r>
              <w:rPr>
                <w:rFonts w:ascii="Arial" w:hAnsi="Arial" w:eastAsia="Arial" w:cs="Arial"/>
                <w:color w:val="333333"/>
                <w:spacing w:val="-4"/>
                <w:sz w:val="18"/>
                <w:szCs w:val="18"/>
              </w:rPr>
              <w:t>320</w:t>
            </w:r>
          </w:p>
        </w:tc>
        <w:tc>
          <w:tcPr>
            <w:tcW w:w="990" w:type="dxa"/>
            <w:vAlign w:val="top"/>
          </w:tcPr>
          <w:p w14:paraId="7C139EA2">
            <w:pPr>
              <w:spacing w:line="264" w:lineRule="auto"/>
              <w:rPr>
                <w:rFonts w:ascii="Arial"/>
                <w:sz w:val="21"/>
              </w:rPr>
            </w:pPr>
          </w:p>
          <w:p w14:paraId="3B9A2D6D">
            <w:pPr>
              <w:spacing w:before="52"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7593EC7F">
            <w:pPr>
              <w:spacing w:line="264" w:lineRule="auto"/>
              <w:rPr>
                <w:rFonts w:ascii="Arial"/>
                <w:sz w:val="21"/>
              </w:rPr>
            </w:pPr>
          </w:p>
          <w:p w14:paraId="7264BE60">
            <w:pPr>
              <w:spacing w:before="52"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1533C99A">
            <w:pPr>
              <w:spacing w:line="264" w:lineRule="auto"/>
              <w:rPr>
                <w:rFonts w:ascii="Arial"/>
                <w:sz w:val="21"/>
              </w:rPr>
            </w:pPr>
          </w:p>
          <w:p w14:paraId="08CC6811">
            <w:pPr>
              <w:spacing w:before="52"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62942532">
            <w:pPr>
              <w:spacing w:line="264" w:lineRule="auto"/>
              <w:rPr>
                <w:rFonts w:ascii="Arial"/>
                <w:sz w:val="21"/>
              </w:rPr>
            </w:pPr>
          </w:p>
          <w:p w14:paraId="3210EDAE">
            <w:pPr>
              <w:spacing w:before="52"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0886D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13" w:type="dxa"/>
            <w:vMerge w:val="continue"/>
            <w:tcBorders>
              <w:top w:val="nil"/>
              <w:bottom w:val="nil"/>
            </w:tcBorders>
            <w:vAlign w:val="top"/>
          </w:tcPr>
          <w:p w14:paraId="7A6028AF">
            <w:pPr>
              <w:rPr>
                <w:rFonts w:ascii="Arial"/>
                <w:sz w:val="21"/>
              </w:rPr>
            </w:pPr>
          </w:p>
        </w:tc>
        <w:tc>
          <w:tcPr>
            <w:tcW w:w="620" w:type="dxa"/>
            <w:vMerge w:val="continue"/>
            <w:tcBorders>
              <w:top w:val="nil"/>
              <w:bottom w:val="nil"/>
            </w:tcBorders>
            <w:vAlign w:val="top"/>
          </w:tcPr>
          <w:p w14:paraId="1301E6CB">
            <w:pPr>
              <w:rPr>
                <w:rFonts w:ascii="Arial"/>
                <w:sz w:val="21"/>
              </w:rPr>
            </w:pPr>
          </w:p>
        </w:tc>
        <w:tc>
          <w:tcPr>
            <w:tcW w:w="2564" w:type="dxa"/>
            <w:vAlign w:val="top"/>
          </w:tcPr>
          <w:p w14:paraId="72466A3F">
            <w:pPr>
              <w:spacing w:before="176" w:line="219" w:lineRule="auto"/>
              <w:ind w:left="964"/>
              <w:rPr>
                <w:rFonts w:ascii="宋体" w:hAnsi="宋体" w:eastAsia="宋体" w:cs="宋体"/>
                <w:sz w:val="18"/>
                <w:szCs w:val="18"/>
              </w:rPr>
            </w:pPr>
            <w:r>
              <w:rPr>
                <w:rFonts w:ascii="宋体" w:hAnsi="宋体" w:eastAsia="宋体" w:cs="宋体"/>
                <w:color w:val="333333"/>
                <w:spacing w:val="-7"/>
                <w:sz w:val="18"/>
                <w:szCs w:val="18"/>
              </w:rPr>
              <w:t>喀什地区</w:t>
            </w:r>
          </w:p>
        </w:tc>
        <w:tc>
          <w:tcPr>
            <w:tcW w:w="2564" w:type="dxa"/>
            <w:vAlign w:val="top"/>
          </w:tcPr>
          <w:p w14:paraId="3A6801C3">
            <w:pPr>
              <w:spacing w:before="180" w:line="196" w:lineRule="auto"/>
              <w:ind w:left="1137"/>
              <w:rPr>
                <w:rFonts w:ascii="Arial" w:hAnsi="Arial" w:eastAsia="Arial" w:cs="Arial"/>
                <w:sz w:val="18"/>
                <w:szCs w:val="18"/>
              </w:rPr>
            </w:pPr>
            <w:r>
              <w:rPr>
                <w:rFonts w:ascii="Arial" w:hAnsi="Arial" w:eastAsia="Arial" w:cs="Arial"/>
                <w:color w:val="333333"/>
                <w:spacing w:val="-1"/>
                <w:sz w:val="18"/>
                <w:szCs w:val="18"/>
              </w:rPr>
              <w:t>480</w:t>
            </w:r>
          </w:p>
        </w:tc>
        <w:tc>
          <w:tcPr>
            <w:tcW w:w="1021" w:type="dxa"/>
            <w:vAlign w:val="top"/>
          </w:tcPr>
          <w:p w14:paraId="7DAA9E7B">
            <w:pPr>
              <w:spacing w:before="180"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4248AD5B">
            <w:pPr>
              <w:spacing w:line="268" w:lineRule="auto"/>
              <w:rPr>
                <w:rFonts w:ascii="Arial"/>
                <w:sz w:val="21"/>
              </w:rPr>
            </w:pPr>
          </w:p>
          <w:p w14:paraId="584E1004">
            <w:pPr>
              <w:spacing w:before="51" w:line="94"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1DEDD6A">
            <w:pPr>
              <w:spacing w:line="268" w:lineRule="auto"/>
              <w:rPr>
                <w:rFonts w:ascii="Arial"/>
                <w:sz w:val="21"/>
              </w:rPr>
            </w:pPr>
          </w:p>
          <w:p w14:paraId="2F0FA70D">
            <w:pPr>
              <w:spacing w:before="51" w:line="94"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2C2149CA">
            <w:pPr>
              <w:spacing w:line="268" w:lineRule="auto"/>
              <w:rPr>
                <w:rFonts w:ascii="Arial"/>
                <w:sz w:val="21"/>
              </w:rPr>
            </w:pPr>
          </w:p>
          <w:p w14:paraId="77983728">
            <w:pPr>
              <w:spacing w:before="51" w:line="94"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0BD1090A">
            <w:pPr>
              <w:spacing w:line="268" w:lineRule="auto"/>
              <w:rPr>
                <w:rFonts w:ascii="Arial"/>
                <w:sz w:val="21"/>
              </w:rPr>
            </w:pPr>
          </w:p>
          <w:p w14:paraId="1407531D">
            <w:pPr>
              <w:spacing w:before="51" w:line="94"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17C0B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13" w:type="dxa"/>
            <w:vMerge w:val="continue"/>
            <w:tcBorders>
              <w:top w:val="nil"/>
              <w:bottom w:val="nil"/>
            </w:tcBorders>
            <w:vAlign w:val="top"/>
          </w:tcPr>
          <w:p w14:paraId="74F3CCBC">
            <w:pPr>
              <w:rPr>
                <w:rFonts w:ascii="Arial"/>
                <w:sz w:val="21"/>
              </w:rPr>
            </w:pPr>
          </w:p>
        </w:tc>
        <w:tc>
          <w:tcPr>
            <w:tcW w:w="620" w:type="dxa"/>
            <w:vMerge w:val="continue"/>
            <w:tcBorders>
              <w:top w:val="nil"/>
              <w:bottom w:val="nil"/>
            </w:tcBorders>
            <w:vAlign w:val="top"/>
          </w:tcPr>
          <w:p w14:paraId="734746E2">
            <w:pPr>
              <w:rPr>
                <w:rFonts w:ascii="Arial"/>
                <w:sz w:val="21"/>
              </w:rPr>
            </w:pPr>
          </w:p>
        </w:tc>
        <w:tc>
          <w:tcPr>
            <w:tcW w:w="2564" w:type="dxa"/>
            <w:vAlign w:val="top"/>
          </w:tcPr>
          <w:p w14:paraId="481F2221">
            <w:pPr>
              <w:spacing w:before="182" w:line="219" w:lineRule="auto"/>
              <w:ind w:left="870"/>
              <w:rPr>
                <w:rFonts w:ascii="宋体" w:hAnsi="宋体" w:eastAsia="宋体" w:cs="宋体"/>
                <w:sz w:val="18"/>
                <w:szCs w:val="18"/>
              </w:rPr>
            </w:pPr>
            <w:r>
              <w:rPr>
                <w:rFonts w:ascii="宋体" w:hAnsi="宋体" w:eastAsia="宋体" w:cs="宋体"/>
                <w:color w:val="333333"/>
                <w:spacing w:val="-6"/>
                <w:sz w:val="18"/>
                <w:szCs w:val="18"/>
              </w:rPr>
              <w:t>阿克苏地区</w:t>
            </w:r>
          </w:p>
        </w:tc>
        <w:tc>
          <w:tcPr>
            <w:tcW w:w="2564" w:type="dxa"/>
            <w:vAlign w:val="top"/>
          </w:tcPr>
          <w:p w14:paraId="25ADEF70">
            <w:pPr>
              <w:spacing w:before="181" w:line="196" w:lineRule="auto"/>
              <w:ind w:left="1137"/>
              <w:rPr>
                <w:rFonts w:ascii="Arial" w:hAnsi="Arial" w:eastAsia="Arial" w:cs="Arial"/>
                <w:sz w:val="18"/>
                <w:szCs w:val="18"/>
              </w:rPr>
            </w:pPr>
            <w:r>
              <w:rPr>
                <w:rFonts w:ascii="Arial" w:hAnsi="Arial" w:eastAsia="Arial" w:cs="Arial"/>
                <w:color w:val="333333"/>
                <w:spacing w:val="-1"/>
                <w:sz w:val="18"/>
                <w:szCs w:val="18"/>
              </w:rPr>
              <w:t>450</w:t>
            </w:r>
          </w:p>
        </w:tc>
        <w:tc>
          <w:tcPr>
            <w:tcW w:w="1021" w:type="dxa"/>
            <w:vAlign w:val="top"/>
          </w:tcPr>
          <w:p w14:paraId="3B169D8E">
            <w:pPr>
              <w:spacing w:before="181"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562F3486">
            <w:pPr>
              <w:spacing w:line="271" w:lineRule="auto"/>
              <w:rPr>
                <w:rFonts w:ascii="Arial"/>
                <w:sz w:val="21"/>
              </w:rPr>
            </w:pPr>
          </w:p>
          <w:p w14:paraId="54C38147">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18761E6D">
            <w:pPr>
              <w:spacing w:line="271" w:lineRule="auto"/>
              <w:rPr>
                <w:rFonts w:ascii="Arial"/>
                <w:sz w:val="21"/>
              </w:rPr>
            </w:pPr>
          </w:p>
          <w:p w14:paraId="11F5320A">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56BBB427">
            <w:pPr>
              <w:spacing w:line="271" w:lineRule="auto"/>
              <w:rPr>
                <w:rFonts w:ascii="Arial"/>
                <w:sz w:val="21"/>
              </w:rPr>
            </w:pPr>
          </w:p>
          <w:p w14:paraId="7B389EE9">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4FCC0592">
            <w:pPr>
              <w:spacing w:line="271" w:lineRule="auto"/>
              <w:rPr>
                <w:rFonts w:ascii="Arial"/>
                <w:sz w:val="21"/>
              </w:rPr>
            </w:pPr>
          </w:p>
          <w:p w14:paraId="3794F103">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r w14:paraId="2F1F1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13" w:type="dxa"/>
            <w:vMerge w:val="continue"/>
            <w:tcBorders>
              <w:top w:val="nil"/>
            </w:tcBorders>
            <w:vAlign w:val="top"/>
          </w:tcPr>
          <w:p w14:paraId="6FE9DB86">
            <w:pPr>
              <w:rPr>
                <w:rFonts w:ascii="Arial"/>
                <w:sz w:val="21"/>
              </w:rPr>
            </w:pPr>
          </w:p>
        </w:tc>
        <w:tc>
          <w:tcPr>
            <w:tcW w:w="620" w:type="dxa"/>
            <w:vMerge w:val="continue"/>
            <w:tcBorders>
              <w:top w:val="nil"/>
            </w:tcBorders>
            <w:vAlign w:val="top"/>
          </w:tcPr>
          <w:p w14:paraId="1B2A4EBA">
            <w:pPr>
              <w:rPr>
                <w:rFonts w:ascii="Arial"/>
                <w:sz w:val="21"/>
              </w:rPr>
            </w:pPr>
          </w:p>
        </w:tc>
        <w:tc>
          <w:tcPr>
            <w:tcW w:w="2564" w:type="dxa"/>
            <w:vAlign w:val="top"/>
          </w:tcPr>
          <w:p w14:paraId="6F2B266F">
            <w:pPr>
              <w:spacing w:before="185" w:line="219" w:lineRule="auto"/>
              <w:ind w:left="937"/>
              <w:rPr>
                <w:rFonts w:ascii="宋体" w:hAnsi="宋体" w:eastAsia="宋体" w:cs="宋体"/>
                <w:sz w:val="18"/>
                <w:szCs w:val="18"/>
              </w:rPr>
            </w:pPr>
            <w:r>
              <w:rPr>
                <w:rFonts w:ascii="宋体" w:hAnsi="宋体" w:eastAsia="宋体" w:cs="宋体"/>
                <w:color w:val="333333"/>
                <w:spacing w:val="-4"/>
                <w:sz w:val="18"/>
                <w:szCs w:val="18"/>
              </w:rPr>
              <w:t>塔城地区</w:t>
            </w:r>
          </w:p>
        </w:tc>
        <w:tc>
          <w:tcPr>
            <w:tcW w:w="2564" w:type="dxa"/>
            <w:vAlign w:val="top"/>
          </w:tcPr>
          <w:p w14:paraId="1CE7F36B">
            <w:pPr>
              <w:spacing w:before="187" w:line="196" w:lineRule="auto"/>
              <w:ind w:left="1137"/>
              <w:rPr>
                <w:rFonts w:ascii="Arial" w:hAnsi="Arial" w:eastAsia="Arial" w:cs="Arial"/>
                <w:sz w:val="18"/>
                <w:szCs w:val="18"/>
              </w:rPr>
            </w:pPr>
            <w:r>
              <w:rPr>
                <w:rFonts w:ascii="Arial" w:hAnsi="Arial" w:eastAsia="Arial" w:cs="Arial"/>
                <w:color w:val="333333"/>
                <w:spacing w:val="-1"/>
                <w:sz w:val="18"/>
                <w:szCs w:val="18"/>
              </w:rPr>
              <w:t>400</w:t>
            </w:r>
          </w:p>
        </w:tc>
        <w:tc>
          <w:tcPr>
            <w:tcW w:w="1021" w:type="dxa"/>
            <w:vAlign w:val="top"/>
          </w:tcPr>
          <w:p w14:paraId="1A142E48">
            <w:pPr>
              <w:spacing w:before="187" w:line="196" w:lineRule="auto"/>
              <w:ind w:left="386"/>
              <w:rPr>
                <w:rFonts w:ascii="Arial" w:hAnsi="Arial" w:eastAsia="Arial" w:cs="Arial"/>
                <w:sz w:val="18"/>
                <w:szCs w:val="18"/>
              </w:rPr>
            </w:pPr>
            <w:r>
              <w:rPr>
                <w:rFonts w:ascii="Arial" w:hAnsi="Arial" w:eastAsia="Arial" w:cs="Arial"/>
                <w:color w:val="333333"/>
                <w:spacing w:val="-4"/>
                <w:sz w:val="18"/>
                <w:szCs w:val="18"/>
              </w:rPr>
              <w:t>300</w:t>
            </w:r>
          </w:p>
        </w:tc>
        <w:tc>
          <w:tcPr>
            <w:tcW w:w="990" w:type="dxa"/>
            <w:vAlign w:val="top"/>
          </w:tcPr>
          <w:p w14:paraId="717B9114">
            <w:pPr>
              <w:spacing w:line="274" w:lineRule="auto"/>
              <w:rPr>
                <w:rFonts w:ascii="Arial"/>
                <w:sz w:val="21"/>
              </w:rPr>
            </w:pPr>
          </w:p>
          <w:p w14:paraId="7944ECED">
            <w:pPr>
              <w:spacing w:before="52" w:line="93" w:lineRule="exact"/>
              <w:ind w:left="491"/>
              <w:rPr>
                <w:rFonts w:ascii="Arial" w:hAnsi="Arial" w:eastAsia="Arial" w:cs="Arial"/>
                <w:sz w:val="18"/>
                <w:szCs w:val="18"/>
              </w:rPr>
            </w:pPr>
            <w:r>
              <w:rPr>
                <w:rFonts w:ascii="Arial" w:hAnsi="Arial" w:eastAsia="Arial" w:cs="Arial"/>
                <w:color w:val="333333"/>
                <w:position w:val="-2"/>
                <w:sz w:val="18"/>
                <w:szCs w:val="18"/>
              </w:rPr>
              <w:t>-</w:t>
            </w:r>
          </w:p>
        </w:tc>
        <w:tc>
          <w:tcPr>
            <w:tcW w:w="991" w:type="dxa"/>
            <w:vAlign w:val="top"/>
          </w:tcPr>
          <w:p w14:paraId="39F2CA89">
            <w:pPr>
              <w:spacing w:line="274" w:lineRule="auto"/>
              <w:rPr>
                <w:rFonts w:ascii="Arial"/>
                <w:sz w:val="21"/>
              </w:rPr>
            </w:pPr>
          </w:p>
          <w:p w14:paraId="14604856">
            <w:pPr>
              <w:spacing w:before="52" w:line="93" w:lineRule="exact"/>
              <w:ind w:left="495"/>
              <w:rPr>
                <w:rFonts w:ascii="Arial" w:hAnsi="Arial" w:eastAsia="Arial" w:cs="Arial"/>
                <w:sz w:val="18"/>
                <w:szCs w:val="18"/>
              </w:rPr>
            </w:pPr>
            <w:r>
              <w:rPr>
                <w:rFonts w:ascii="Arial" w:hAnsi="Arial" w:eastAsia="Arial" w:cs="Arial"/>
                <w:color w:val="333333"/>
                <w:position w:val="-2"/>
                <w:sz w:val="18"/>
                <w:szCs w:val="18"/>
              </w:rPr>
              <w:t>-</w:t>
            </w:r>
          </w:p>
        </w:tc>
        <w:tc>
          <w:tcPr>
            <w:tcW w:w="990" w:type="dxa"/>
            <w:vAlign w:val="top"/>
          </w:tcPr>
          <w:p w14:paraId="036A337A">
            <w:pPr>
              <w:spacing w:line="274" w:lineRule="auto"/>
              <w:rPr>
                <w:rFonts w:ascii="Arial"/>
                <w:sz w:val="21"/>
              </w:rPr>
            </w:pPr>
          </w:p>
          <w:p w14:paraId="39DC9DC0">
            <w:pPr>
              <w:spacing w:before="52" w:line="93" w:lineRule="exact"/>
              <w:ind w:left="497"/>
              <w:rPr>
                <w:rFonts w:ascii="Arial" w:hAnsi="Arial" w:eastAsia="Arial" w:cs="Arial"/>
                <w:sz w:val="18"/>
                <w:szCs w:val="18"/>
              </w:rPr>
            </w:pPr>
            <w:r>
              <w:rPr>
                <w:rFonts w:ascii="Arial" w:hAnsi="Arial" w:eastAsia="Arial" w:cs="Arial"/>
                <w:color w:val="333333"/>
                <w:position w:val="-2"/>
                <w:sz w:val="18"/>
                <w:szCs w:val="18"/>
              </w:rPr>
              <w:t>-</w:t>
            </w:r>
          </w:p>
        </w:tc>
        <w:tc>
          <w:tcPr>
            <w:tcW w:w="1012" w:type="dxa"/>
            <w:vAlign w:val="top"/>
          </w:tcPr>
          <w:p w14:paraId="07CDA219">
            <w:pPr>
              <w:spacing w:line="274" w:lineRule="auto"/>
              <w:rPr>
                <w:rFonts w:ascii="Arial"/>
                <w:sz w:val="21"/>
              </w:rPr>
            </w:pPr>
          </w:p>
          <w:p w14:paraId="2BF69DC8">
            <w:pPr>
              <w:spacing w:before="52" w:line="93" w:lineRule="exact"/>
              <w:ind w:left="501"/>
              <w:rPr>
                <w:rFonts w:ascii="Arial" w:hAnsi="Arial" w:eastAsia="Arial" w:cs="Arial"/>
                <w:sz w:val="18"/>
                <w:szCs w:val="18"/>
              </w:rPr>
            </w:pPr>
            <w:r>
              <w:rPr>
                <w:rFonts w:ascii="Arial" w:hAnsi="Arial" w:eastAsia="Arial" w:cs="Arial"/>
                <w:color w:val="333333"/>
                <w:position w:val="-2"/>
                <w:sz w:val="18"/>
                <w:szCs w:val="18"/>
              </w:rPr>
              <w:t>-</w:t>
            </w:r>
          </w:p>
        </w:tc>
      </w:tr>
    </w:tbl>
    <w:p w14:paraId="3CDB7AF9">
      <w:pPr>
        <w:rPr>
          <w:rFonts w:ascii="Arial"/>
          <w:sz w:val="21"/>
        </w:rPr>
      </w:pPr>
    </w:p>
    <w:p w14:paraId="055B2F98">
      <w:pPr>
        <w:rPr>
          <w:rFonts w:ascii="Arial" w:hAnsi="Arial" w:eastAsia="Arial" w:cs="Arial"/>
          <w:sz w:val="21"/>
          <w:szCs w:val="21"/>
        </w:rPr>
        <w:sectPr>
          <w:pgSz w:w="11905" w:h="16837"/>
          <w:pgMar w:top="400" w:right="307" w:bottom="400" w:left="327" w:header="0" w:footer="850" w:gutter="0"/>
          <w:pgNumType w:fmt="decimal"/>
          <w:cols w:space="720" w:num="1"/>
        </w:sectPr>
      </w:pPr>
    </w:p>
    <w:p w14:paraId="476F5BEB">
      <w:pPr>
        <w:spacing w:line="322" w:lineRule="auto"/>
        <w:rPr>
          <w:rFonts w:ascii="Arial"/>
          <w:sz w:val="21"/>
        </w:rPr>
      </w:pPr>
    </w:p>
    <w:p w14:paraId="34BC481D">
      <w:pPr>
        <w:spacing w:line="322" w:lineRule="auto"/>
        <w:rPr>
          <w:rFonts w:ascii="Arial"/>
          <w:sz w:val="21"/>
        </w:rPr>
      </w:pPr>
    </w:p>
    <w:p w14:paraId="66586909">
      <w:pPr>
        <w:pStyle w:val="2"/>
        <w:spacing w:before="71" w:line="219" w:lineRule="auto"/>
        <w:ind w:left="125"/>
        <w:rPr>
          <w:sz w:val="22"/>
          <w:szCs w:val="22"/>
        </w:rPr>
      </w:pPr>
      <w:r>
        <w:rPr>
          <w:spacing w:val="-6"/>
          <w:sz w:val="22"/>
          <w:szCs w:val="22"/>
        </w:rPr>
        <w:t>附件二：省内出差住宿费标准</w:t>
      </w:r>
    </w:p>
    <w:p w14:paraId="6372F553">
      <w:pPr>
        <w:spacing w:line="281" w:lineRule="auto"/>
        <w:rPr>
          <w:rFonts w:ascii="Arial"/>
          <w:sz w:val="21"/>
        </w:rPr>
      </w:pPr>
    </w:p>
    <w:p w14:paraId="378A8A8C">
      <w:pPr>
        <w:pStyle w:val="2"/>
        <w:spacing w:before="97" w:line="219" w:lineRule="auto"/>
        <w:ind w:left="1028"/>
        <w:rPr>
          <w:sz w:val="30"/>
          <w:szCs w:val="30"/>
        </w:rPr>
      </w:pPr>
      <w:r>
        <w:rPr>
          <w:b/>
          <w:bCs/>
          <w:spacing w:val="12"/>
          <w:sz w:val="30"/>
          <w:szCs w:val="30"/>
        </w:rPr>
        <w:t>青海湖生态保护基金会省内差旅住宿费和伙食补助</w:t>
      </w:r>
      <w:r>
        <w:rPr>
          <w:b/>
          <w:bCs/>
          <w:spacing w:val="11"/>
          <w:sz w:val="30"/>
          <w:szCs w:val="30"/>
        </w:rPr>
        <w:t>费标准表</w:t>
      </w:r>
    </w:p>
    <w:p w14:paraId="5DA7FD1A">
      <w:pPr>
        <w:pStyle w:val="2"/>
        <w:spacing w:before="214" w:line="211" w:lineRule="auto"/>
        <w:jc w:val="right"/>
        <w:rPr>
          <w:sz w:val="22"/>
          <w:szCs w:val="22"/>
        </w:rPr>
      </w:pPr>
      <w:r>
        <w:rPr>
          <w:spacing w:val="-4"/>
          <w:sz w:val="22"/>
          <w:szCs w:val="22"/>
        </w:rPr>
        <w:t>单位：元/人•天</w:t>
      </w:r>
    </w:p>
    <w:tbl>
      <w:tblPr>
        <w:tblStyle w:val="6"/>
        <w:tblW w:w="10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1931"/>
        <w:gridCol w:w="1340"/>
        <w:gridCol w:w="1111"/>
        <w:gridCol w:w="1801"/>
        <w:gridCol w:w="1441"/>
        <w:gridCol w:w="1732"/>
      </w:tblGrid>
      <w:tr w14:paraId="15A27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71" w:type="dxa"/>
            <w:vMerge w:val="restart"/>
            <w:tcBorders>
              <w:bottom w:val="nil"/>
            </w:tcBorders>
            <w:vAlign w:val="top"/>
          </w:tcPr>
          <w:p w14:paraId="6F6731F8">
            <w:pPr>
              <w:spacing w:line="291" w:lineRule="auto"/>
              <w:rPr>
                <w:rFonts w:ascii="Arial"/>
                <w:sz w:val="21"/>
              </w:rPr>
            </w:pPr>
          </w:p>
          <w:p w14:paraId="141CD7B3">
            <w:pPr>
              <w:spacing w:line="291" w:lineRule="auto"/>
              <w:rPr>
                <w:rFonts w:ascii="Arial"/>
                <w:sz w:val="21"/>
              </w:rPr>
            </w:pPr>
          </w:p>
          <w:p w14:paraId="76E71ADC">
            <w:pPr>
              <w:spacing w:before="72" w:line="225" w:lineRule="auto"/>
              <w:ind w:left="293"/>
              <w:rPr>
                <w:rFonts w:ascii="宋体" w:hAnsi="宋体" w:eastAsia="宋体" w:cs="宋体"/>
                <w:sz w:val="22"/>
                <w:szCs w:val="22"/>
              </w:rPr>
            </w:pPr>
            <w:r>
              <w:rPr>
                <w:rFonts w:ascii="宋体" w:hAnsi="宋体" w:eastAsia="宋体" w:cs="宋体"/>
                <w:spacing w:val="-4"/>
                <w:sz w:val="22"/>
                <w:szCs w:val="22"/>
              </w:rPr>
              <w:t>地区</w:t>
            </w:r>
          </w:p>
        </w:tc>
        <w:tc>
          <w:tcPr>
            <w:tcW w:w="3271" w:type="dxa"/>
            <w:gridSpan w:val="2"/>
            <w:vAlign w:val="top"/>
          </w:tcPr>
          <w:p w14:paraId="7665BCF0">
            <w:pPr>
              <w:spacing w:before="242" w:line="220" w:lineRule="auto"/>
              <w:ind w:left="1104"/>
              <w:rPr>
                <w:rFonts w:ascii="宋体" w:hAnsi="宋体" w:eastAsia="宋体" w:cs="宋体"/>
                <w:sz w:val="22"/>
                <w:szCs w:val="22"/>
              </w:rPr>
            </w:pPr>
            <w:r>
              <w:rPr>
                <w:rFonts w:ascii="宋体" w:hAnsi="宋体" w:eastAsia="宋体" w:cs="宋体"/>
                <w:spacing w:val="-3"/>
                <w:sz w:val="22"/>
                <w:szCs w:val="22"/>
              </w:rPr>
              <w:t>住宿费标准</w:t>
            </w:r>
          </w:p>
        </w:tc>
        <w:tc>
          <w:tcPr>
            <w:tcW w:w="4353" w:type="dxa"/>
            <w:gridSpan w:val="3"/>
            <w:vAlign w:val="top"/>
          </w:tcPr>
          <w:p w14:paraId="64A59463">
            <w:pPr>
              <w:spacing w:before="242" w:line="220" w:lineRule="auto"/>
              <w:ind w:left="1579"/>
              <w:rPr>
                <w:rFonts w:ascii="宋体" w:hAnsi="宋体" w:eastAsia="宋体" w:cs="宋体"/>
                <w:sz w:val="22"/>
                <w:szCs w:val="22"/>
              </w:rPr>
            </w:pPr>
            <w:r>
              <w:rPr>
                <w:rFonts w:ascii="宋体" w:hAnsi="宋体" w:eastAsia="宋体" w:cs="宋体"/>
                <w:spacing w:val="-7"/>
                <w:sz w:val="22"/>
                <w:szCs w:val="22"/>
              </w:rPr>
              <w:t>旺季浮动标准</w:t>
            </w:r>
          </w:p>
        </w:tc>
        <w:tc>
          <w:tcPr>
            <w:tcW w:w="1732" w:type="dxa"/>
            <w:vMerge w:val="restart"/>
            <w:tcBorders>
              <w:bottom w:val="nil"/>
            </w:tcBorders>
            <w:vAlign w:val="top"/>
          </w:tcPr>
          <w:p w14:paraId="35A2C25D">
            <w:pPr>
              <w:spacing w:line="286" w:lineRule="auto"/>
              <w:rPr>
                <w:rFonts w:ascii="Arial"/>
                <w:sz w:val="21"/>
              </w:rPr>
            </w:pPr>
          </w:p>
          <w:p w14:paraId="155748A9">
            <w:pPr>
              <w:spacing w:line="287" w:lineRule="auto"/>
              <w:rPr>
                <w:rFonts w:ascii="Arial"/>
                <w:sz w:val="21"/>
              </w:rPr>
            </w:pPr>
          </w:p>
          <w:p w14:paraId="6359EB35">
            <w:pPr>
              <w:spacing w:before="71" w:line="220" w:lineRule="auto"/>
              <w:ind w:left="130"/>
              <w:rPr>
                <w:rFonts w:ascii="宋体" w:hAnsi="宋体" w:eastAsia="宋体" w:cs="宋体"/>
                <w:sz w:val="22"/>
                <w:szCs w:val="22"/>
              </w:rPr>
            </w:pPr>
            <w:r>
              <w:rPr>
                <w:rFonts w:ascii="宋体" w:hAnsi="宋体" w:eastAsia="宋体" w:cs="宋体"/>
                <w:spacing w:val="-4"/>
                <w:sz w:val="22"/>
                <w:szCs w:val="22"/>
              </w:rPr>
              <w:t>伙食补助费标准</w:t>
            </w:r>
          </w:p>
        </w:tc>
      </w:tr>
      <w:tr w14:paraId="0CE93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71" w:type="dxa"/>
            <w:vMerge w:val="continue"/>
            <w:tcBorders>
              <w:top w:val="nil"/>
            </w:tcBorders>
            <w:vAlign w:val="top"/>
          </w:tcPr>
          <w:p w14:paraId="331797F7">
            <w:pPr>
              <w:rPr>
                <w:rFonts w:ascii="Arial"/>
                <w:sz w:val="21"/>
              </w:rPr>
            </w:pPr>
          </w:p>
        </w:tc>
        <w:tc>
          <w:tcPr>
            <w:tcW w:w="1931" w:type="dxa"/>
            <w:vAlign w:val="top"/>
          </w:tcPr>
          <w:p w14:paraId="59A26511">
            <w:pPr>
              <w:spacing w:before="186" w:line="221" w:lineRule="auto"/>
              <w:ind w:left="553"/>
              <w:rPr>
                <w:rFonts w:ascii="宋体" w:hAnsi="宋体" w:eastAsia="宋体" w:cs="宋体"/>
                <w:sz w:val="22"/>
                <w:szCs w:val="22"/>
              </w:rPr>
            </w:pPr>
            <w:r>
              <w:rPr>
                <w:rFonts w:ascii="宋体" w:hAnsi="宋体" w:eastAsia="宋体" w:cs="宋体"/>
                <w:spacing w:val="-5"/>
                <w:sz w:val="22"/>
                <w:szCs w:val="22"/>
              </w:rPr>
              <w:t>理事成员</w:t>
            </w:r>
          </w:p>
          <w:p w14:paraId="7140D53C">
            <w:pPr>
              <w:spacing w:before="5" w:line="221" w:lineRule="auto"/>
              <w:ind w:left="125"/>
              <w:rPr>
                <w:rFonts w:ascii="宋体" w:hAnsi="宋体" w:eastAsia="宋体" w:cs="宋体"/>
                <w:sz w:val="22"/>
                <w:szCs w:val="22"/>
              </w:rPr>
            </w:pPr>
            <w:r>
              <w:rPr>
                <w:rFonts w:ascii="宋体" w:hAnsi="宋体" w:eastAsia="宋体" w:cs="宋体"/>
                <w:spacing w:val="-5"/>
                <w:sz w:val="22"/>
                <w:szCs w:val="22"/>
              </w:rPr>
              <w:t>（单间或标准间）</w:t>
            </w:r>
          </w:p>
        </w:tc>
        <w:tc>
          <w:tcPr>
            <w:tcW w:w="1340" w:type="dxa"/>
            <w:vAlign w:val="top"/>
          </w:tcPr>
          <w:p w14:paraId="6CBB942B">
            <w:pPr>
              <w:spacing w:before="193" w:line="221" w:lineRule="auto"/>
              <w:ind w:left="167" w:right="148" w:firstLine="88"/>
              <w:rPr>
                <w:rFonts w:ascii="宋体" w:hAnsi="宋体" w:eastAsia="宋体" w:cs="宋体"/>
                <w:sz w:val="22"/>
                <w:szCs w:val="22"/>
              </w:rPr>
            </w:pPr>
            <w:r>
              <w:rPr>
                <w:rFonts w:ascii="宋体" w:hAnsi="宋体" w:eastAsia="宋体" w:cs="宋体"/>
                <w:spacing w:val="-6"/>
                <w:sz w:val="22"/>
                <w:szCs w:val="22"/>
              </w:rPr>
              <w:t>其余人员</w:t>
            </w:r>
            <w:r>
              <w:rPr>
                <w:rFonts w:ascii="宋体" w:hAnsi="宋体" w:eastAsia="宋体" w:cs="宋体"/>
                <w:spacing w:val="2"/>
                <w:sz w:val="22"/>
                <w:szCs w:val="22"/>
              </w:rPr>
              <w:t xml:space="preserve"> </w:t>
            </w:r>
            <w:r>
              <w:rPr>
                <w:rFonts w:ascii="宋体" w:hAnsi="宋体" w:eastAsia="宋体" w:cs="宋体"/>
                <w:spacing w:val="-17"/>
                <w:sz w:val="22"/>
                <w:szCs w:val="22"/>
              </w:rPr>
              <w:t>（标准间）</w:t>
            </w:r>
          </w:p>
        </w:tc>
        <w:tc>
          <w:tcPr>
            <w:tcW w:w="1111" w:type="dxa"/>
            <w:vAlign w:val="top"/>
          </w:tcPr>
          <w:p w14:paraId="129AFDD7">
            <w:pPr>
              <w:spacing w:line="247" w:lineRule="auto"/>
              <w:rPr>
                <w:rFonts w:ascii="Arial"/>
                <w:sz w:val="21"/>
              </w:rPr>
            </w:pPr>
          </w:p>
          <w:p w14:paraId="2975B5A7">
            <w:pPr>
              <w:spacing w:before="72" w:line="220" w:lineRule="auto"/>
              <w:ind w:left="175"/>
              <w:rPr>
                <w:rFonts w:ascii="宋体" w:hAnsi="宋体" w:eastAsia="宋体" w:cs="宋体"/>
                <w:sz w:val="22"/>
                <w:szCs w:val="22"/>
              </w:rPr>
            </w:pPr>
            <w:r>
              <w:rPr>
                <w:rFonts w:ascii="宋体" w:hAnsi="宋体" w:eastAsia="宋体" w:cs="宋体"/>
                <w:spacing w:val="-9"/>
                <w:sz w:val="22"/>
                <w:szCs w:val="22"/>
              </w:rPr>
              <w:t>旺季期间</w:t>
            </w:r>
          </w:p>
        </w:tc>
        <w:tc>
          <w:tcPr>
            <w:tcW w:w="1801" w:type="dxa"/>
            <w:textDirection w:val="tbRlV"/>
            <w:vAlign w:val="top"/>
          </w:tcPr>
          <w:p w14:paraId="357AF3CD">
            <w:pPr>
              <w:spacing w:before="201" w:line="171" w:lineRule="auto"/>
              <w:ind w:left="293"/>
              <w:rPr>
                <w:rFonts w:ascii="宋体" w:hAnsi="宋体" w:eastAsia="宋体" w:cs="宋体"/>
                <w:sz w:val="22"/>
                <w:szCs w:val="22"/>
              </w:rPr>
            </w:pPr>
            <w:r>
              <w:rPr>
                <w:rFonts w:ascii="宋体" w:hAnsi="宋体" w:eastAsia="宋体" w:cs="宋体"/>
                <w:sz w:val="22"/>
                <w:szCs w:val="22"/>
              </w:rPr>
              <w:t>准</w:t>
            </w:r>
          </w:p>
          <w:p w14:paraId="2FDF46E5">
            <w:pPr>
              <w:spacing w:before="1" w:line="185" w:lineRule="auto"/>
              <w:ind w:left="36"/>
              <w:rPr>
                <w:rFonts w:ascii="宋体" w:hAnsi="宋体" w:eastAsia="宋体" w:cs="宋体"/>
                <w:sz w:val="22"/>
                <w:szCs w:val="22"/>
              </w:rPr>
            </w:pPr>
            <w:r>
              <mc:AlternateContent>
                <mc:Choice Requires="wps">
                  <w:drawing>
                    <wp:anchor distT="0" distB="0" distL="0" distR="0" simplePos="0" relativeHeight="251679744" behindDoc="0" locked="0" layoutInCell="1" allowOverlap="1">
                      <wp:simplePos x="0" y="0"/>
                      <wp:positionH relativeFrom="column">
                        <wp:posOffset>-617220</wp:posOffset>
                      </wp:positionH>
                      <wp:positionV relativeFrom="paragraph">
                        <wp:posOffset>148590</wp:posOffset>
                      </wp:positionV>
                      <wp:extent cx="85090" cy="222885"/>
                      <wp:effectExtent l="0" t="0" r="0" b="0"/>
                      <wp:wrapNone/>
                      <wp:docPr id="2" name="TextBox 2"/>
                      <wp:cNvGraphicFramePr/>
                      <a:graphic xmlns:a="http://schemas.openxmlformats.org/drawingml/2006/main">
                        <a:graphicData uri="http://schemas.microsoft.com/office/word/2010/wordprocessingShape">
                          <wps:wsp>
                            <wps:cNvSpPr txBox="1"/>
                            <wps:spPr>
                              <a:xfrm rot="5400000">
                                <a:off x="-617376" y="148787"/>
                                <a:ext cx="85089" cy="222884"/>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3B96ECB7">
                                  <w:pPr>
                                    <w:spacing w:before="65" w:line="223" w:lineRule="auto"/>
                                    <w:ind w:right="3"/>
                                    <w:jc w:val="right"/>
                                    <w:rPr>
                                      <w:rFonts w:ascii="宋体" w:hAnsi="宋体" w:eastAsia="宋体" w:cs="宋体"/>
                                      <w:sz w:val="22"/>
                                      <w:szCs w:val="22"/>
                                    </w:rPr>
                                  </w:pPr>
                                  <w:r>
                                    <w:rPr>
                                      <w:rFonts w:ascii="宋体" w:hAnsi="宋体" w:eastAsia="宋体" w:cs="宋体"/>
                                      <w:sz w:val="22"/>
                                      <w:szCs w:val="22"/>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 o:spid="_x0000_s1026" o:spt="202" type="#_x0000_t202" style="position:absolute;left:0pt;margin-left:-48.6pt;margin-top:11.7pt;height:17.55pt;width:6.7pt;rotation:5898240f;z-index:251679744;mso-width-relative:page;mso-height-relative:page;" filled="f" stroked="f" coordsize="21600,21600" o:gfxdata="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ZPegM2AAAAAkBAAAPAAAA&#10;AAAAAAEAIAAAACIAAABkcnMvZG93bnJldi54bWxQSwECFAAUAAAACACHTuJANzRaBE4CAACeBAAA&#10;DgAAAAAAAAABACAAAAAnAQAAZHJzL2Uyb0RvYy54bWxQSwUGAAAAAAYABgBZAQAA5wUAAAAA&#10;">
                      <v:fill on="f" focussize="0,0"/>
                      <v:stroke on="f" weight="0pt" miterlimit="0" joinstyle="miter"/>
                      <v:imagedata o:title=""/>
                      <o:lock v:ext="edit" aspectratio="f"/>
                      <v:textbox inset="0mm,0mm,0mm,0mm">
                        <w:txbxContent>
                          <w:p w14:paraId="3B96ECB7">
                            <w:pPr>
                              <w:spacing w:before="65" w:line="223" w:lineRule="auto"/>
                              <w:ind w:right="3"/>
                              <w:jc w:val="right"/>
                              <w:rPr>
                                <w:rFonts w:ascii="宋体" w:hAnsi="宋体" w:eastAsia="宋体" w:cs="宋体"/>
                                <w:sz w:val="22"/>
                                <w:szCs w:val="22"/>
                              </w:rPr>
                            </w:pPr>
                            <w:r>
                              <w:rPr>
                                <w:rFonts w:ascii="宋体" w:hAnsi="宋体" w:eastAsia="宋体" w:cs="宋体"/>
                                <w:sz w:val="22"/>
                                <w:szCs w:val="22"/>
                              </w:rPr>
                              <w:t>(</w:t>
                            </w:r>
                          </w:p>
                        </w:txbxContent>
                      </v:textbox>
                    </v:shape>
                  </w:pict>
                </mc:Fallback>
              </mc:AlternateContent>
            </w:r>
            <w:r>
              <w:rPr>
                <w:rFonts w:ascii="宋体" w:hAnsi="宋体" w:eastAsia="宋体" w:cs="宋体"/>
                <w:spacing w:val="-17"/>
                <w:w w:val="98"/>
                <w:sz w:val="22"/>
                <w:szCs w:val="22"/>
              </w:rPr>
              <w:t>员标</w:t>
            </w:r>
            <w:r>
              <w:rPr>
                <w:rFonts w:ascii="宋体" w:hAnsi="宋体" w:eastAsia="宋体" w:cs="宋体"/>
                <w:sz w:val="22"/>
                <w:szCs w:val="22"/>
              </w:rPr>
              <w:t xml:space="preserve">    </w:t>
            </w:r>
            <w:r>
              <w:rPr>
                <w:rFonts w:ascii="宋体" w:hAnsi="宋体" w:eastAsia="宋体" w:cs="宋体"/>
                <w:spacing w:val="35"/>
                <w:sz w:val="22"/>
                <w:szCs w:val="22"/>
              </w:rPr>
              <w:t>成或）</w:t>
            </w:r>
            <w:r>
              <w:rPr>
                <w:rFonts w:ascii="宋体" w:hAnsi="宋体" w:eastAsia="宋体" w:cs="宋体"/>
                <w:spacing w:val="1"/>
                <w:sz w:val="22"/>
                <w:szCs w:val="22"/>
              </w:rPr>
              <w:t xml:space="preserve"> </w:t>
            </w:r>
            <w:r>
              <w:rPr>
                <w:rFonts w:ascii="宋体" w:hAnsi="宋体" w:eastAsia="宋体" w:cs="宋体"/>
                <w:spacing w:val="-20"/>
                <w:sz w:val="22"/>
                <w:szCs w:val="22"/>
              </w:rPr>
              <w:t>事间间</w:t>
            </w:r>
            <w:r>
              <w:rPr>
                <w:rFonts w:ascii="宋体" w:hAnsi="宋体" w:eastAsia="宋体" w:cs="宋体"/>
                <w:sz w:val="22"/>
                <w:szCs w:val="22"/>
              </w:rPr>
              <w:t xml:space="preserve">  </w:t>
            </w:r>
            <w:r>
              <w:rPr>
                <w:rFonts w:ascii="宋体" w:hAnsi="宋体" w:eastAsia="宋体" w:cs="宋体"/>
                <w:spacing w:val="-10"/>
                <w:sz w:val="22"/>
                <w:szCs w:val="22"/>
              </w:rPr>
              <w:t>理单</w:t>
            </w:r>
          </w:p>
        </w:tc>
        <w:tc>
          <w:tcPr>
            <w:tcW w:w="1441" w:type="dxa"/>
            <w:vAlign w:val="top"/>
          </w:tcPr>
          <w:p w14:paraId="46C30442">
            <w:pPr>
              <w:spacing w:before="193" w:line="221" w:lineRule="auto"/>
              <w:ind w:left="230" w:right="181" w:firstLine="87"/>
              <w:rPr>
                <w:rFonts w:ascii="宋体" w:hAnsi="宋体" w:eastAsia="宋体" w:cs="宋体"/>
                <w:sz w:val="22"/>
                <w:szCs w:val="22"/>
              </w:rPr>
            </w:pPr>
            <w:r>
              <w:rPr>
                <w:rFonts w:ascii="宋体" w:hAnsi="宋体" w:eastAsia="宋体" w:cs="宋体"/>
                <w:spacing w:val="-6"/>
                <w:sz w:val="22"/>
                <w:szCs w:val="22"/>
              </w:rPr>
              <w:t>其余人员</w:t>
            </w:r>
            <w:r>
              <w:rPr>
                <w:rFonts w:ascii="宋体" w:hAnsi="宋体" w:eastAsia="宋体" w:cs="宋体"/>
                <w:spacing w:val="2"/>
                <w:sz w:val="22"/>
                <w:szCs w:val="22"/>
              </w:rPr>
              <w:t xml:space="preserve"> </w:t>
            </w:r>
            <w:r>
              <w:rPr>
                <w:rFonts w:ascii="宋体" w:hAnsi="宋体" w:eastAsia="宋体" w:cs="宋体"/>
                <w:spacing w:val="-16"/>
                <w:sz w:val="22"/>
                <w:szCs w:val="22"/>
              </w:rPr>
              <w:t>（标准间）</w:t>
            </w:r>
          </w:p>
        </w:tc>
        <w:tc>
          <w:tcPr>
            <w:tcW w:w="1732" w:type="dxa"/>
            <w:vMerge w:val="continue"/>
            <w:tcBorders>
              <w:top w:val="nil"/>
            </w:tcBorders>
            <w:vAlign w:val="top"/>
          </w:tcPr>
          <w:p w14:paraId="3CB10116">
            <w:pPr>
              <w:rPr>
                <w:rFonts w:ascii="Arial"/>
                <w:sz w:val="21"/>
              </w:rPr>
            </w:pPr>
          </w:p>
        </w:tc>
      </w:tr>
      <w:tr w14:paraId="7C58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971" w:type="dxa"/>
            <w:vAlign w:val="top"/>
          </w:tcPr>
          <w:p w14:paraId="586CD988">
            <w:pPr>
              <w:spacing w:before="233" w:line="222" w:lineRule="auto"/>
              <w:ind w:left="308"/>
              <w:rPr>
                <w:rFonts w:ascii="宋体" w:hAnsi="宋体" w:eastAsia="宋体" w:cs="宋体"/>
                <w:sz w:val="22"/>
                <w:szCs w:val="22"/>
              </w:rPr>
            </w:pPr>
            <w:r>
              <w:rPr>
                <w:rFonts w:ascii="宋体" w:hAnsi="宋体" w:eastAsia="宋体" w:cs="宋体"/>
                <w:spacing w:val="-7"/>
                <w:sz w:val="22"/>
                <w:szCs w:val="22"/>
              </w:rPr>
              <w:t>西宁</w:t>
            </w:r>
          </w:p>
        </w:tc>
        <w:tc>
          <w:tcPr>
            <w:tcW w:w="1931" w:type="dxa"/>
            <w:vAlign w:val="top"/>
          </w:tcPr>
          <w:p w14:paraId="3B61B50A">
            <w:pPr>
              <w:spacing w:before="263" w:line="184" w:lineRule="auto"/>
              <w:ind w:left="818"/>
              <w:rPr>
                <w:rFonts w:ascii="宋体" w:hAnsi="宋体" w:eastAsia="宋体" w:cs="宋体"/>
                <w:sz w:val="22"/>
                <w:szCs w:val="22"/>
              </w:rPr>
            </w:pPr>
            <w:r>
              <w:rPr>
                <w:rFonts w:ascii="宋体" w:hAnsi="宋体" w:eastAsia="宋体" w:cs="宋体"/>
                <w:spacing w:val="-4"/>
                <w:sz w:val="22"/>
                <w:szCs w:val="22"/>
              </w:rPr>
              <w:t>400</w:t>
            </w:r>
          </w:p>
        </w:tc>
        <w:tc>
          <w:tcPr>
            <w:tcW w:w="1340" w:type="dxa"/>
            <w:vAlign w:val="top"/>
          </w:tcPr>
          <w:p w14:paraId="059695FD">
            <w:pPr>
              <w:spacing w:before="263" w:line="184" w:lineRule="auto"/>
              <w:ind w:left="540"/>
              <w:rPr>
                <w:rFonts w:ascii="宋体" w:hAnsi="宋体" w:eastAsia="宋体" w:cs="宋体"/>
                <w:sz w:val="22"/>
                <w:szCs w:val="22"/>
              </w:rPr>
            </w:pPr>
            <w:r>
              <w:rPr>
                <w:rFonts w:ascii="宋体" w:hAnsi="宋体" w:eastAsia="宋体" w:cs="宋体"/>
                <w:spacing w:val="-5"/>
                <w:sz w:val="22"/>
                <w:szCs w:val="22"/>
              </w:rPr>
              <w:t>250</w:t>
            </w:r>
          </w:p>
        </w:tc>
        <w:tc>
          <w:tcPr>
            <w:tcW w:w="1111" w:type="dxa"/>
            <w:vAlign w:val="top"/>
          </w:tcPr>
          <w:p w14:paraId="7D5DB791">
            <w:pPr>
              <w:spacing w:before="229" w:line="220" w:lineRule="auto"/>
              <w:ind w:left="315"/>
              <w:rPr>
                <w:rFonts w:ascii="宋体" w:hAnsi="宋体" w:eastAsia="宋体" w:cs="宋体"/>
                <w:sz w:val="22"/>
                <w:szCs w:val="22"/>
              </w:rPr>
            </w:pPr>
            <w:r>
              <w:rPr>
                <w:rFonts w:ascii="宋体" w:hAnsi="宋体" w:eastAsia="宋体" w:cs="宋体"/>
                <w:spacing w:val="-4"/>
                <w:sz w:val="22"/>
                <w:szCs w:val="22"/>
              </w:rPr>
              <w:t>6-9月</w:t>
            </w:r>
          </w:p>
        </w:tc>
        <w:tc>
          <w:tcPr>
            <w:tcW w:w="1801" w:type="dxa"/>
            <w:vAlign w:val="top"/>
          </w:tcPr>
          <w:p w14:paraId="2E439DF9">
            <w:pPr>
              <w:spacing w:before="263" w:line="184" w:lineRule="auto"/>
              <w:ind w:left="787"/>
              <w:rPr>
                <w:rFonts w:ascii="宋体" w:hAnsi="宋体" w:eastAsia="宋体" w:cs="宋体"/>
                <w:sz w:val="22"/>
                <w:szCs w:val="22"/>
              </w:rPr>
            </w:pPr>
            <w:r>
              <w:rPr>
                <w:rFonts w:ascii="宋体" w:hAnsi="宋体" w:eastAsia="宋体" w:cs="宋体"/>
                <w:spacing w:val="-6"/>
                <w:sz w:val="22"/>
                <w:szCs w:val="22"/>
              </w:rPr>
              <w:t>750</w:t>
            </w:r>
          </w:p>
        </w:tc>
        <w:tc>
          <w:tcPr>
            <w:tcW w:w="1441" w:type="dxa"/>
            <w:vAlign w:val="top"/>
          </w:tcPr>
          <w:p w14:paraId="727C471C">
            <w:pPr>
              <w:spacing w:before="263" w:line="184" w:lineRule="auto"/>
              <w:ind w:left="607"/>
              <w:rPr>
                <w:rFonts w:ascii="宋体" w:hAnsi="宋体" w:eastAsia="宋体" w:cs="宋体"/>
                <w:sz w:val="22"/>
                <w:szCs w:val="22"/>
              </w:rPr>
            </w:pPr>
            <w:r>
              <w:rPr>
                <w:rFonts w:ascii="宋体" w:hAnsi="宋体" w:eastAsia="宋体" w:cs="宋体"/>
                <w:spacing w:val="-5"/>
                <w:sz w:val="22"/>
                <w:szCs w:val="22"/>
              </w:rPr>
              <w:t>530</w:t>
            </w:r>
          </w:p>
        </w:tc>
        <w:tc>
          <w:tcPr>
            <w:tcW w:w="1732" w:type="dxa"/>
            <w:vAlign w:val="top"/>
          </w:tcPr>
          <w:p w14:paraId="30E63946">
            <w:pPr>
              <w:spacing w:before="263" w:line="184" w:lineRule="auto"/>
              <w:ind w:left="806"/>
              <w:rPr>
                <w:rFonts w:ascii="宋体" w:hAnsi="宋体" w:eastAsia="宋体" w:cs="宋体"/>
                <w:sz w:val="22"/>
                <w:szCs w:val="22"/>
              </w:rPr>
            </w:pPr>
            <w:r>
              <w:rPr>
                <w:rFonts w:ascii="宋体" w:hAnsi="宋体" w:eastAsia="宋体" w:cs="宋体"/>
                <w:spacing w:val="-7"/>
                <w:sz w:val="22"/>
                <w:szCs w:val="22"/>
              </w:rPr>
              <w:t>70</w:t>
            </w:r>
          </w:p>
        </w:tc>
      </w:tr>
      <w:tr w14:paraId="219AB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71" w:type="dxa"/>
            <w:vAlign w:val="top"/>
          </w:tcPr>
          <w:p w14:paraId="561ACE6F">
            <w:pPr>
              <w:spacing w:before="233" w:line="220" w:lineRule="auto"/>
              <w:ind w:left="289"/>
              <w:rPr>
                <w:rFonts w:ascii="宋体" w:hAnsi="宋体" w:eastAsia="宋体" w:cs="宋体"/>
                <w:sz w:val="22"/>
                <w:szCs w:val="22"/>
              </w:rPr>
            </w:pPr>
            <w:r>
              <w:rPr>
                <w:rFonts w:ascii="宋体" w:hAnsi="宋体" w:eastAsia="宋体" w:cs="宋体"/>
                <w:spacing w:val="-4"/>
                <w:sz w:val="22"/>
                <w:szCs w:val="22"/>
              </w:rPr>
              <w:t>海东</w:t>
            </w:r>
          </w:p>
        </w:tc>
        <w:tc>
          <w:tcPr>
            <w:tcW w:w="1931" w:type="dxa"/>
            <w:vAlign w:val="top"/>
          </w:tcPr>
          <w:p w14:paraId="55FD5FD5">
            <w:pPr>
              <w:spacing w:before="267" w:line="184" w:lineRule="auto"/>
              <w:ind w:left="833"/>
              <w:rPr>
                <w:rFonts w:ascii="宋体" w:hAnsi="宋体" w:eastAsia="宋体" w:cs="宋体"/>
                <w:sz w:val="22"/>
                <w:szCs w:val="22"/>
              </w:rPr>
            </w:pPr>
            <w:r>
              <w:rPr>
                <w:rFonts w:ascii="宋体" w:hAnsi="宋体" w:eastAsia="宋体" w:cs="宋体"/>
                <w:spacing w:val="-5"/>
                <w:sz w:val="22"/>
                <w:szCs w:val="22"/>
              </w:rPr>
              <w:t>300</w:t>
            </w:r>
          </w:p>
        </w:tc>
        <w:tc>
          <w:tcPr>
            <w:tcW w:w="1340" w:type="dxa"/>
            <w:vAlign w:val="top"/>
          </w:tcPr>
          <w:p w14:paraId="30E88152">
            <w:pPr>
              <w:spacing w:before="267" w:line="184" w:lineRule="auto"/>
              <w:ind w:left="540"/>
              <w:rPr>
                <w:rFonts w:ascii="宋体" w:hAnsi="宋体" w:eastAsia="宋体" w:cs="宋体"/>
                <w:sz w:val="22"/>
                <w:szCs w:val="22"/>
              </w:rPr>
            </w:pPr>
            <w:r>
              <w:rPr>
                <w:rFonts w:ascii="宋体" w:hAnsi="宋体" w:eastAsia="宋体" w:cs="宋体"/>
                <w:spacing w:val="-5"/>
                <w:sz w:val="22"/>
                <w:szCs w:val="22"/>
              </w:rPr>
              <w:t>250</w:t>
            </w:r>
          </w:p>
        </w:tc>
        <w:tc>
          <w:tcPr>
            <w:tcW w:w="1111" w:type="dxa"/>
            <w:vAlign w:val="top"/>
          </w:tcPr>
          <w:p w14:paraId="104D8339">
            <w:pPr>
              <w:spacing w:before="233" w:line="220" w:lineRule="auto"/>
              <w:ind w:left="322"/>
              <w:rPr>
                <w:rFonts w:ascii="宋体" w:hAnsi="宋体" w:eastAsia="宋体" w:cs="宋体"/>
                <w:sz w:val="22"/>
                <w:szCs w:val="22"/>
              </w:rPr>
            </w:pPr>
            <w:r>
              <w:rPr>
                <w:rFonts w:ascii="宋体" w:hAnsi="宋体" w:eastAsia="宋体" w:cs="宋体"/>
                <w:spacing w:val="-5"/>
                <w:sz w:val="22"/>
                <w:szCs w:val="22"/>
              </w:rPr>
              <w:t>5-9月</w:t>
            </w:r>
          </w:p>
        </w:tc>
        <w:tc>
          <w:tcPr>
            <w:tcW w:w="1801" w:type="dxa"/>
            <w:vAlign w:val="top"/>
          </w:tcPr>
          <w:p w14:paraId="106A7417">
            <w:pPr>
              <w:spacing w:before="267" w:line="184" w:lineRule="auto"/>
              <w:ind w:left="768"/>
              <w:rPr>
                <w:rFonts w:ascii="宋体" w:hAnsi="宋体" w:eastAsia="宋体" w:cs="宋体"/>
                <w:sz w:val="22"/>
                <w:szCs w:val="22"/>
              </w:rPr>
            </w:pPr>
            <w:r>
              <w:rPr>
                <w:rFonts w:ascii="宋体" w:hAnsi="宋体" w:eastAsia="宋体" w:cs="宋体"/>
                <w:spacing w:val="-4"/>
                <w:sz w:val="22"/>
                <w:szCs w:val="22"/>
              </w:rPr>
              <w:t>450</w:t>
            </w:r>
          </w:p>
        </w:tc>
        <w:tc>
          <w:tcPr>
            <w:tcW w:w="1441" w:type="dxa"/>
            <w:vAlign w:val="top"/>
          </w:tcPr>
          <w:p w14:paraId="5D159841">
            <w:pPr>
              <w:spacing w:before="267" w:line="184" w:lineRule="auto"/>
              <w:ind w:left="607"/>
              <w:rPr>
                <w:rFonts w:ascii="宋体" w:hAnsi="宋体" w:eastAsia="宋体" w:cs="宋体"/>
                <w:sz w:val="22"/>
                <w:szCs w:val="22"/>
              </w:rPr>
            </w:pPr>
            <w:r>
              <w:rPr>
                <w:rFonts w:ascii="宋体" w:hAnsi="宋体" w:eastAsia="宋体" w:cs="宋体"/>
                <w:spacing w:val="-5"/>
                <w:sz w:val="22"/>
                <w:szCs w:val="22"/>
              </w:rPr>
              <w:t>375</w:t>
            </w:r>
          </w:p>
        </w:tc>
        <w:tc>
          <w:tcPr>
            <w:tcW w:w="1732" w:type="dxa"/>
            <w:vAlign w:val="top"/>
          </w:tcPr>
          <w:p w14:paraId="01006B2A">
            <w:pPr>
              <w:spacing w:before="267" w:line="184" w:lineRule="auto"/>
              <w:ind w:left="795"/>
              <w:rPr>
                <w:rFonts w:ascii="宋体" w:hAnsi="宋体" w:eastAsia="宋体" w:cs="宋体"/>
                <w:sz w:val="22"/>
                <w:szCs w:val="22"/>
              </w:rPr>
            </w:pPr>
            <w:r>
              <w:rPr>
                <w:rFonts w:ascii="宋体" w:hAnsi="宋体" w:eastAsia="宋体" w:cs="宋体"/>
                <w:spacing w:val="-5"/>
                <w:sz w:val="22"/>
                <w:szCs w:val="22"/>
              </w:rPr>
              <w:t>60</w:t>
            </w:r>
          </w:p>
        </w:tc>
      </w:tr>
      <w:tr w14:paraId="327BD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71" w:type="dxa"/>
            <w:vAlign w:val="top"/>
          </w:tcPr>
          <w:p w14:paraId="43330C97">
            <w:pPr>
              <w:spacing w:before="239" w:line="222" w:lineRule="auto"/>
              <w:ind w:left="289"/>
              <w:rPr>
                <w:rFonts w:ascii="宋体" w:hAnsi="宋体" w:eastAsia="宋体" w:cs="宋体"/>
                <w:sz w:val="22"/>
                <w:szCs w:val="22"/>
              </w:rPr>
            </w:pPr>
            <w:r>
              <w:rPr>
                <w:rFonts w:ascii="宋体" w:hAnsi="宋体" w:eastAsia="宋体" w:cs="宋体"/>
                <w:spacing w:val="-4"/>
                <w:sz w:val="22"/>
                <w:szCs w:val="22"/>
              </w:rPr>
              <w:t>海西</w:t>
            </w:r>
          </w:p>
        </w:tc>
        <w:tc>
          <w:tcPr>
            <w:tcW w:w="1931" w:type="dxa"/>
            <w:vAlign w:val="top"/>
          </w:tcPr>
          <w:p w14:paraId="1F07FD30">
            <w:pPr>
              <w:spacing w:before="270" w:line="184" w:lineRule="auto"/>
              <w:ind w:left="833"/>
              <w:rPr>
                <w:rFonts w:ascii="宋体" w:hAnsi="宋体" w:eastAsia="宋体" w:cs="宋体"/>
                <w:sz w:val="22"/>
                <w:szCs w:val="22"/>
              </w:rPr>
            </w:pPr>
            <w:r>
              <w:rPr>
                <w:rFonts w:ascii="宋体" w:hAnsi="宋体" w:eastAsia="宋体" w:cs="宋体"/>
                <w:spacing w:val="-5"/>
                <w:sz w:val="22"/>
                <w:szCs w:val="22"/>
              </w:rPr>
              <w:t>300</w:t>
            </w:r>
          </w:p>
        </w:tc>
        <w:tc>
          <w:tcPr>
            <w:tcW w:w="1340" w:type="dxa"/>
            <w:vAlign w:val="top"/>
          </w:tcPr>
          <w:p w14:paraId="5DC54822">
            <w:pPr>
              <w:spacing w:before="270" w:line="184" w:lineRule="auto"/>
              <w:ind w:left="540"/>
              <w:rPr>
                <w:rFonts w:ascii="宋体" w:hAnsi="宋体" w:eastAsia="宋体" w:cs="宋体"/>
                <w:sz w:val="22"/>
                <w:szCs w:val="22"/>
              </w:rPr>
            </w:pPr>
            <w:r>
              <w:rPr>
                <w:rFonts w:ascii="宋体" w:hAnsi="宋体" w:eastAsia="宋体" w:cs="宋体"/>
                <w:spacing w:val="-5"/>
                <w:sz w:val="22"/>
                <w:szCs w:val="22"/>
              </w:rPr>
              <w:t>200</w:t>
            </w:r>
          </w:p>
        </w:tc>
        <w:tc>
          <w:tcPr>
            <w:tcW w:w="1111" w:type="dxa"/>
            <w:vAlign w:val="top"/>
          </w:tcPr>
          <w:p w14:paraId="6052930F">
            <w:pPr>
              <w:spacing w:before="235" w:line="220" w:lineRule="auto"/>
              <w:ind w:left="322"/>
              <w:rPr>
                <w:rFonts w:ascii="宋体" w:hAnsi="宋体" w:eastAsia="宋体" w:cs="宋体"/>
                <w:sz w:val="22"/>
                <w:szCs w:val="22"/>
              </w:rPr>
            </w:pPr>
            <w:r>
              <w:rPr>
                <w:rFonts w:ascii="宋体" w:hAnsi="宋体" w:eastAsia="宋体" w:cs="宋体"/>
                <w:spacing w:val="-5"/>
                <w:sz w:val="22"/>
                <w:szCs w:val="22"/>
              </w:rPr>
              <w:t>5-9月</w:t>
            </w:r>
          </w:p>
        </w:tc>
        <w:tc>
          <w:tcPr>
            <w:tcW w:w="1801" w:type="dxa"/>
            <w:vAlign w:val="top"/>
          </w:tcPr>
          <w:p w14:paraId="0454A26E">
            <w:pPr>
              <w:spacing w:before="270" w:line="184" w:lineRule="auto"/>
              <w:ind w:left="768"/>
              <w:rPr>
                <w:rFonts w:ascii="宋体" w:hAnsi="宋体" w:eastAsia="宋体" w:cs="宋体"/>
                <w:sz w:val="22"/>
                <w:szCs w:val="22"/>
              </w:rPr>
            </w:pPr>
            <w:r>
              <w:rPr>
                <w:rFonts w:ascii="宋体" w:hAnsi="宋体" w:eastAsia="宋体" w:cs="宋体"/>
                <w:spacing w:val="-4"/>
                <w:sz w:val="22"/>
                <w:szCs w:val="22"/>
              </w:rPr>
              <w:t>450</w:t>
            </w:r>
          </w:p>
        </w:tc>
        <w:tc>
          <w:tcPr>
            <w:tcW w:w="1441" w:type="dxa"/>
            <w:vAlign w:val="top"/>
          </w:tcPr>
          <w:p w14:paraId="7B9E957A">
            <w:pPr>
              <w:spacing w:before="270" w:line="184" w:lineRule="auto"/>
              <w:ind w:left="607"/>
              <w:rPr>
                <w:rFonts w:ascii="宋体" w:hAnsi="宋体" w:eastAsia="宋体" w:cs="宋体"/>
                <w:sz w:val="22"/>
                <w:szCs w:val="22"/>
              </w:rPr>
            </w:pPr>
            <w:r>
              <w:rPr>
                <w:rFonts w:ascii="宋体" w:hAnsi="宋体" w:eastAsia="宋体" w:cs="宋体"/>
                <w:spacing w:val="-5"/>
                <w:sz w:val="22"/>
                <w:szCs w:val="22"/>
              </w:rPr>
              <w:t>375</w:t>
            </w:r>
          </w:p>
        </w:tc>
        <w:tc>
          <w:tcPr>
            <w:tcW w:w="1732" w:type="dxa"/>
            <w:vAlign w:val="top"/>
          </w:tcPr>
          <w:p w14:paraId="4336DCA6">
            <w:pPr>
              <w:spacing w:before="270" w:line="184" w:lineRule="auto"/>
              <w:ind w:left="795"/>
              <w:rPr>
                <w:rFonts w:ascii="宋体" w:hAnsi="宋体" w:eastAsia="宋体" w:cs="宋体"/>
                <w:sz w:val="22"/>
                <w:szCs w:val="22"/>
              </w:rPr>
            </w:pPr>
            <w:r>
              <w:rPr>
                <w:rFonts w:ascii="宋体" w:hAnsi="宋体" w:eastAsia="宋体" w:cs="宋体"/>
                <w:spacing w:val="-5"/>
                <w:sz w:val="22"/>
                <w:szCs w:val="22"/>
              </w:rPr>
              <w:t>60</w:t>
            </w:r>
          </w:p>
        </w:tc>
      </w:tr>
      <w:tr w14:paraId="7EB3A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71" w:type="dxa"/>
            <w:vAlign w:val="top"/>
          </w:tcPr>
          <w:p w14:paraId="47226D4B">
            <w:pPr>
              <w:spacing w:before="239" w:line="222" w:lineRule="auto"/>
              <w:ind w:left="289"/>
              <w:rPr>
                <w:rFonts w:ascii="宋体" w:hAnsi="宋体" w:eastAsia="宋体" w:cs="宋体"/>
                <w:sz w:val="22"/>
                <w:szCs w:val="22"/>
              </w:rPr>
            </w:pPr>
            <w:r>
              <w:rPr>
                <w:rFonts w:ascii="宋体" w:hAnsi="宋体" w:eastAsia="宋体" w:cs="宋体"/>
                <w:spacing w:val="-4"/>
                <w:sz w:val="22"/>
                <w:szCs w:val="22"/>
              </w:rPr>
              <w:t>海南</w:t>
            </w:r>
          </w:p>
        </w:tc>
        <w:tc>
          <w:tcPr>
            <w:tcW w:w="1931" w:type="dxa"/>
            <w:vAlign w:val="top"/>
          </w:tcPr>
          <w:p w14:paraId="4C207D2A">
            <w:pPr>
              <w:spacing w:before="269" w:line="184" w:lineRule="auto"/>
              <w:ind w:left="833"/>
              <w:rPr>
                <w:rFonts w:ascii="宋体" w:hAnsi="宋体" w:eastAsia="宋体" w:cs="宋体"/>
                <w:sz w:val="22"/>
                <w:szCs w:val="22"/>
              </w:rPr>
            </w:pPr>
            <w:r>
              <w:rPr>
                <w:rFonts w:ascii="宋体" w:hAnsi="宋体" w:eastAsia="宋体" w:cs="宋体"/>
                <w:spacing w:val="-5"/>
                <w:sz w:val="22"/>
                <w:szCs w:val="22"/>
              </w:rPr>
              <w:t>300</w:t>
            </w:r>
          </w:p>
        </w:tc>
        <w:tc>
          <w:tcPr>
            <w:tcW w:w="1340" w:type="dxa"/>
            <w:vAlign w:val="top"/>
          </w:tcPr>
          <w:p w14:paraId="49DADAE5">
            <w:pPr>
              <w:spacing w:before="269" w:line="184" w:lineRule="auto"/>
              <w:ind w:left="540"/>
              <w:rPr>
                <w:rFonts w:ascii="宋体" w:hAnsi="宋体" w:eastAsia="宋体" w:cs="宋体"/>
                <w:sz w:val="22"/>
                <w:szCs w:val="22"/>
              </w:rPr>
            </w:pPr>
            <w:r>
              <w:rPr>
                <w:rFonts w:ascii="宋体" w:hAnsi="宋体" w:eastAsia="宋体" w:cs="宋体"/>
                <w:spacing w:val="-5"/>
                <w:sz w:val="22"/>
                <w:szCs w:val="22"/>
              </w:rPr>
              <w:t>250</w:t>
            </w:r>
          </w:p>
        </w:tc>
        <w:tc>
          <w:tcPr>
            <w:tcW w:w="1111" w:type="dxa"/>
            <w:vAlign w:val="top"/>
          </w:tcPr>
          <w:p w14:paraId="0754219F">
            <w:pPr>
              <w:spacing w:before="235" w:line="220" w:lineRule="auto"/>
              <w:ind w:left="322"/>
              <w:rPr>
                <w:rFonts w:ascii="宋体" w:hAnsi="宋体" w:eastAsia="宋体" w:cs="宋体"/>
                <w:sz w:val="22"/>
                <w:szCs w:val="22"/>
              </w:rPr>
            </w:pPr>
            <w:r>
              <w:rPr>
                <w:rFonts w:ascii="宋体" w:hAnsi="宋体" w:eastAsia="宋体" w:cs="宋体"/>
                <w:spacing w:val="-5"/>
                <w:sz w:val="22"/>
                <w:szCs w:val="22"/>
              </w:rPr>
              <w:t>5-9月</w:t>
            </w:r>
          </w:p>
        </w:tc>
        <w:tc>
          <w:tcPr>
            <w:tcW w:w="1801" w:type="dxa"/>
            <w:vAlign w:val="top"/>
          </w:tcPr>
          <w:p w14:paraId="5EEAD4FB">
            <w:pPr>
              <w:spacing w:before="269" w:line="184" w:lineRule="auto"/>
              <w:ind w:left="768"/>
              <w:rPr>
                <w:rFonts w:ascii="宋体" w:hAnsi="宋体" w:eastAsia="宋体" w:cs="宋体"/>
                <w:sz w:val="22"/>
                <w:szCs w:val="22"/>
              </w:rPr>
            </w:pPr>
            <w:r>
              <w:rPr>
                <w:rFonts w:ascii="宋体" w:hAnsi="宋体" w:eastAsia="宋体" w:cs="宋体"/>
                <w:spacing w:val="-4"/>
                <w:sz w:val="22"/>
                <w:szCs w:val="22"/>
              </w:rPr>
              <w:t>450</w:t>
            </w:r>
          </w:p>
        </w:tc>
        <w:tc>
          <w:tcPr>
            <w:tcW w:w="1441" w:type="dxa"/>
            <w:vAlign w:val="top"/>
          </w:tcPr>
          <w:p w14:paraId="78B67637">
            <w:pPr>
              <w:spacing w:before="269" w:line="184" w:lineRule="auto"/>
              <w:ind w:left="607"/>
              <w:rPr>
                <w:rFonts w:ascii="宋体" w:hAnsi="宋体" w:eastAsia="宋体" w:cs="宋体"/>
                <w:sz w:val="22"/>
                <w:szCs w:val="22"/>
              </w:rPr>
            </w:pPr>
            <w:r>
              <w:rPr>
                <w:rFonts w:ascii="宋体" w:hAnsi="宋体" w:eastAsia="宋体" w:cs="宋体"/>
                <w:spacing w:val="-5"/>
                <w:sz w:val="22"/>
                <w:szCs w:val="22"/>
              </w:rPr>
              <w:t>375</w:t>
            </w:r>
          </w:p>
        </w:tc>
        <w:tc>
          <w:tcPr>
            <w:tcW w:w="1732" w:type="dxa"/>
            <w:vAlign w:val="top"/>
          </w:tcPr>
          <w:p w14:paraId="0D7CD32A">
            <w:pPr>
              <w:spacing w:before="269" w:line="184" w:lineRule="auto"/>
              <w:ind w:left="795"/>
              <w:rPr>
                <w:rFonts w:ascii="宋体" w:hAnsi="宋体" w:eastAsia="宋体" w:cs="宋体"/>
                <w:sz w:val="22"/>
                <w:szCs w:val="22"/>
              </w:rPr>
            </w:pPr>
            <w:r>
              <w:rPr>
                <w:rFonts w:ascii="宋体" w:hAnsi="宋体" w:eastAsia="宋体" w:cs="宋体"/>
                <w:spacing w:val="-5"/>
                <w:sz w:val="22"/>
                <w:szCs w:val="22"/>
              </w:rPr>
              <w:t>60</w:t>
            </w:r>
          </w:p>
        </w:tc>
      </w:tr>
      <w:tr w14:paraId="503F0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71" w:type="dxa"/>
            <w:vAlign w:val="top"/>
          </w:tcPr>
          <w:p w14:paraId="3BD76ADA">
            <w:pPr>
              <w:spacing w:before="245" w:line="222" w:lineRule="auto"/>
              <w:ind w:left="289"/>
              <w:rPr>
                <w:rFonts w:ascii="宋体" w:hAnsi="宋体" w:eastAsia="宋体" w:cs="宋体"/>
                <w:sz w:val="22"/>
                <w:szCs w:val="22"/>
              </w:rPr>
            </w:pPr>
            <w:r>
              <w:rPr>
                <w:rFonts w:ascii="宋体" w:hAnsi="宋体" w:eastAsia="宋体" w:cs="宋体"/>
                <w:spacing w:val="-4"/>
                <w:sz w:val="22"/>
                <w:szCs w:val="22"/>
              </w:rPr>
              <w:t>海北</w:t>
            </w:r>
          </w:p>
        </w:tc>
        <w:tc>
          <w:tcPr>
            <w:tcW w:w="1931" w:type="dxa"/>
            <w:vAlign w:val="top"/>
          </w:tcPr>
          <w:p w14:paraId="1B8A247C">
            <w:pPr>
              <w:spacing w:before="277" w:line="184" w:lineRule="auto"/>
              <w:ind w:left="833"/>
              <w:rPr>
                <w:rFonts w:ascii="宋体" w:hAnsi="宋体" w:eastAsia="宋体" w:cs="宋体"/>
                <w:sz w:val="22"/>
                <w:szCs w:val="22"/>
              </w:rPr>
            </w:pPr>
            <w:r>
              <w:rPr>
                <w:rFonts w:ascii="宋体" w:hAnsi="宋体" w:eastAsia="宋体" w:cs="宋体"/>
                <w:spacing w:val="-5"/>
                <w:sz w:val="22"/>
                <w:szCs w:val="22"/>
              </w:rPr>
              <w:t>350</w:t>
            </w:r>
          </w:p>
        </w:tc>
        <w:tc>
          <w:tcPr>
            <w:tcW w:w="1340" w:type="dxa"/>
            <w:vAlign w:val="top"/>
          </w:tcPr>
          <w:p w14:paraId="6D01CFFA">
            <w:pPr>
              <w:spacing w:before="277" w:line="184" w:lineRule="auto"/>
              <w:ind w:left="540"/>
              <w:rPr>
                <w:rFonts w:ascii="宋体" w:hAnsi="宋体" w:eastAsia="宋体" w:cs="宋体"/>
                <w:sz w:val="22"/>
                <w:szCs w:val="22"/>
              </w:rPr>
            </w:pPr>
            <w:r>
              <w:rPr>
                <w:rFonts w:ascii="宋体" w:hAnsi="宋体" w:eastAsia="宋体" w:cs="宋体"/>
                <w:spacing w:val="-5"/>
                <w:sz w:val="22"/>
                <w:szCs w:val="22"/>
              </w:rPr>
              <w:t>250</w:t>
            </w:r>
          </w:p>
        </w:tc>
        <w:tc>
          <w:tcPr>
            <w:tcW w:w="1111" w:type="dxa"/>
            <w:vAlign w:val="top"/>
          </w:tcPr>
          <w:p w14:paraId="4B4CE2F1">
            <w:pPr>
              <w:spacing w:before="243" w:line="220" w:lineRule="auto"/>
              <w:ind w:left="322"/>
              <w:rPr>
                <w:rFonts w:ascii="宋体" w:hAnsi="宋体" w:eastAsia="宋体" w:cs="宋体"/>
                <w:sz w:val="22"/>
                <w:szCs w:val="22"/>
              </w:rPr>
            </w:pPr>
            <w:r>
              <w:rPr>
                <w:rFonts w:ascii="宋体" w:hAnsi="宋体" w:eastAsia="宋体" w:cs="宋体"/>
                <w:spacing w:val="-5"/>
                <w:sz w:val="22"/>
                <w:szCs w:val="22"/>
              </w:rPr>
              <w:t>5-9月</w:t>
            </w:r>
          </w:p>
        </w:tc>
        <w:tc>
          <w:tcPr>
            <w:tcW w:w="1801" w:type="dxa"/>
            <w:vAlign w:val="top"/>
          </w:tcPr>
          <w:p w14:paraId="17684401">
            <w:pPr>
              <w:spacing w:before="277" w:line="184" w:lineRule="auto"/>
              <w:ind w:left="783"/>
              <w:rPr>
                <w:rFonts w:ascii="宋体" w:hAnsi="宋体" w:eastAsia="宋体" w:cs="宋体"/>
                <w:sz w:val="22"/>
                <w:szCs w:val="22"/>
              </w:rPr>
            </w:pPr>
            <w:r>
              <w:rPr>
                <w:rFonts w:ascii="宋体" w:hAnsi="宋体" w:eastAsia="宋体" w:cs="宋体"/>
                <w:spacing w:val="-5"/>
                <w:sz w:val="22"/>
                <w:szCs w:val="22"/>
              </w:rPr>
              <w:t>525</w:t>
            </w:r>
          </w:p>
        </w:tc>
        <w:tc>
          <w:tcPr>
            <w:tcW w:w="1441" w:type="dxa"/>
            <w:vAlign w:val="top"/>
          </w:tcPr>
          <w:p w14:paraId="1F5E1D89">
            <w:pPr>
              <w:spacing w:before="277" w:line="184" w:lineRule="auto"/>
              <w:ind w:left="607"/>
              <w:rPr>
                <w:rFonts w:ascii="宋体" w:hAnsi="宋体" w:eastAsia="宋体" w:cs="宋体"/>
                <w:sz w:val="22"/>
                <w:szCs w:val="22"/>
              </w:rPr>
            </w:pPr>
            <w:r>
              <w:rPr>
                <w:rFonts w:ascii="宋体" w:hAnsi="宋体" w:eastAsia="宋体" w:cs="宋体"/>
                <w:spacing w:val="-5"/>
                <w:sz w:val="22"/>
                <w:szCs w:val="22"/>
              </w:rPr>
              <w:t>375</w:t>
            </w:r>
          </w:p>
        </w:tc>
        <w:tc>
          <w:tcPr>
            <w:tcW w:w="1732" w:type="dxa"/>
            <w:vAlign w:val="top"/>
          </w:tcPr>
          <w:p w14:paraId="553A58CC">
            <w:pPr>
              <w:spacing w:before="277" w:line="184" w:lineRule="auto"/>
              <w:ind w:left="795"/>
              <w:rPr>
                <w:rFonts w:ascii="宋体" w:hAnsi="宋体" w:eastAsia="宋体" w:cs="宋体"/>
                <w:sz w:val="22"/>
                <w:szCs w:val="22"/>
              </w:rPr>
            </w:pPr>
            <w:r>
              <w:rPr>
                <w:rFonts w:ascii="宋体" w:hAnsi="宋体" w:eastAsia="宋体" w:cs="宋体"/>
                <w:spacing w:val="-5"/>
                <w:sz w:val="22"/>
                <w:szCs w:val="22"/>
              </w:rPr>
              <w:t>60</w:t>
            </w:r>
          </w:p>
        </w:tc>
      </w:tr>
      <w:tr w14:paraId="5A6CF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71" w:type="dxa"/>
            <w:vAlign w:val="top"/>
          </w:tcPr>
          <w:p w14:paraId="4FCFB929">
            <w:pPr>
              <w:spacing w:before="243" w:line="220" w:lineRule="auto"/>
              <w:ind w:left="289"/>
              <w:rPr>
                <w:rFonts w:ascii="宋体" w:hAnsi="宋体" w:eastAsia="宋体" w:cs="宋体"/>
                <w:sz w:val="22"/>
                <w:szCs w:val="22"/>
              </w:rPr>
            </w:pPr>
            <w:r>
              <w:rPr>
                <w:rFonts w:ascii="宋体" w:hAnsi="宋体" w:eastAsia="宋体" w:cs="宋体"/>
                <w:spacing w:val="-4"/>
                <w:sz w:val="22"/>
                <w:szCs w:val="22"/>
              </w:rPr>
              <w:t>黄南</w:t>
            </w:r>
          </w:p>
        </w:tc>
        <w:tc>
          <w:tcPr>
            <w:tcW w:w="1931" w:type="dxa"/>
            <w:vAlign w:val="top"/>
          </w:tcPr>
          <w:p w14:paraId="54B1D660">
            <w:pPr>
              <w:spacing w:before="277" w:line="184" w:lineRule="auto"/>
              <w:ind w:left="833"/>
              <w:rPr>
                <w:rFonts w:ascii="宋体" w:hAnsi="宋体" w:eastAsia="宋体" w:cs="宋体"/>
                <w:sz w:val="22"/>
                <w:szCs w:val="22"/>
              </w:rPr>
            </w:pPr>
            <w:r>
              <w:rPr>
                <w:rFonts w:ascii="宋体" w:hAnsi="宋体" w:eastAsia="宋体" w:cs="宋体"/>
                <w:spacing w:val="-5"/>
                <w:sz w:val="22"/>
                <w:szCs w:val="22"/>
              </w:rPr>
              <w:t>350</w:t>
            </w:r>
          </w:p>
        </w:tc>
        <w:tc>
          <w:tcPr>
            <w:tcW w:w="1340" w:type="dxa"/>
            <w:vAlign w:val="top"/>
          </w:tcPr>
          <w:p w14:paraId="206ED678">
            <w:pPr>
              <w:spacing w:before="277" w:line="184" w:lineRule="auto"/>
              <w:ind w:left="540"/>
              <w:rPr>
                <w:rFonts w:ascii="宋体" w:hAnsi="宋体" w:eastAsia="宋体" w:cs="宋体"/>
                <w:sz w:val="22"/>
                <w:szCs w:val="22"/>
              </w:rPr>
            </w:pPr>
            <w:r>
              <w:rPr>
                <w:rFonts w:ascii="宋体" w:hAnsi="宋体" w:eastAsia="宋体" w:cs="宋体"/>
                <w:spacing w:val="-5"/>
                <w:sz w:val="22"/>
                <w:szCs w:val="22"/>
              </w:rPr>
              <w:t>250</w:t>
            </w:r>
          </w:p>
        </w:tc>
        <w:tc>
          <w:tcPr>
            <w:tcW w:w="1111" w:type="dxa"/>
            <w:vAlign w:val="top"/>
          </w:tcPr>
          <w:p w14:paraId="1379A916">
            <w:pPr>
              <w:spacing w:before="243" w:line="220" w:lineRule="auto"/>
              <w:ind w:left="322"/>
              <w:rPr>
                <w:rFonts w:ascii="宋体" w:hAnsi="宋体" w:eastAsia="宋体" w:cs="宋体"/>
                <w:sz w:val="22"/>
                <w:szCs w:val="22"/>
              </w:rPr>
            </w:pPr>
            <w:r>
              <w:rPr>
                <w:rFonts w:ascii="宋体" w:hAnsi="宋体" w:eastAsia="宋体" w:cs="宋体"/>
                <w:spacing w:val="-5"/>
                <w:sz w:val="22"/>
                <w:szCs w:val="22"/>
              </w:rPr>
              <w:t>5-9月</w:t>
            </w:r>
          </w:p>
        </w:tc>
        <w:tc>
          <w:tcPr>
            <w:tcW w:w="1801" w:type="dxa"/>
            <w:vAlign w:val="top"/>
          </w:tcPr>
          <w:p w14:paraId="5AF76AC9">
            <w:pPr>
              <w:spacing w:before="277" w:line="184" w:lineRule="auto"/>
              <w:ind w:left="783"/>
              <w:rPr>
                <w:rFonts w:ascii="宋体" w:hAnsi="宋体" w:eastAsia="宋体" w:cs="宋体"/>
                <w:sz w:val="22"/>
                <w:szCs w:val="22"/>
              </w:rPr>
            </w:pPr>
            <w:r>
              <w:rPr>
                <w:rFonts w:ascii="宋体" w:hAnsi="宋体" w:eastAsia="宋体" w:cs="宋体"/>
                <w:spacing w:val="-5"/>
                <w:sz w:val="22"/>
                <w:szCs w:val="22"/>
              </w:rPr>
              <w:t>525</w:t>
            </w:r>
          </w:p>
        </w:tc>
        <w:tc>
          <w:tcPr>
            <w:tcW w:w="1441" w:type="dxa"/>
            <w:vAlign w:val="top"/>
          </w:tcPr>
          <w:p w14:paraId="0E999006">
            <w:pPr>
              <w:spacing w:before="277" w:line="184" w:lineRule="auto"/>
              <w:ind w:left="607"/>
              <w:rPr>
                <w:rFonts w:ascii="宋体" w:hAnsi="宋体" w:eastAsia="宋体" w:cs="宋体"/>
                <w:sz w:val="22"/>
                <w:szCs w:val="22"/>
              </w:rPr>
            </w:pPr>
            <w:r>
              <w:rPr>
                <w:rFonts w:ascii="宋体" w:hAnsi="宋体" w:eastAsia="宋体" w:cs="宋体"/>
                <w:spacing w:val="-5"/>
                <w:sz w:val="22"/>
                <w:szCs w:val="22"/>
              </w:rPr>
              <w:t>375</w:t>
            </w:r>
          </w:p>
        </w:tc>
        <w:tc>
          <w:tcPr>
            <w:tcW w:w="1732" w:type="dxa"/>
            <w:vAlign w:val="top"/>
          </w:tcPr>
          <w:p w14:paraId="1C45C654">
            <w:pPr>
              <w:spacing w:before="277" w:line="184" w:lineRule="auto"/>
              <w:ind w:left="795"/>
              <w:rPr>
                <w:rFonts w:ascii="宋体" w:hAnsi="宋体" w:eastAsia="宋体" w:cs="宋体"/>
                <w:sz w:val="22"/>
                <w:szCs w:val="22"/>
              </w:rPr>
            </w:pPr>
            <w:r>
              <w:rPr>
                <w:rFonts w:ascii="宋体" w:hAnsi="宋体" w:eastAsia="宋体" w:cs="宋体"/>
                <w:spacing w:val="-5"/>
                <w:sz w:val="22"/>
                <w:szCs w:val="22"/>
              </w:rPr>
              <w:t>60</w:t>
            </w:r>
          </w:p>
        </w:tc>
      </w:tr>
      <w:tr w14:paraId="2202F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71" w:type="dxa"/>
            <w:vAlign w:val="top"/>
          </w:tcPr>
          <w:p w14:paraId="1CB22155">
            <w:pPr>
              <w:spacing w:before="246" w:line="220" w:lineRule="auto"/>
              <w:ind w:left="294"/>
              <w:rPr>
                <w:rFonts w:ascii="宋体" w:hAnsi="宋体" w:eastAsia="宋体" w:cs="宋体"/>
                <w:sz w:val="22"/>
                <w:szCs w:val="22"/>
              </w:rPr>
            </w:pPr>
            <w:r>
              <w:rPr>
                <w:rFonts w:ascii="宋体" w:hAnsi="宋体" w:eastAsia="宋体" w:cs="宋体"/>
                <w:spacing w:val="-5"/>
                <w:sz w:val="22"/>
                <w:szCs w:val="22"/>
              </w:rPr>
              <w:t>玉树</w:t>
            </w:r>
          </w:p>
        </w:tc>
        <w:tc>
          <w:tcPr>
            <w:tcW w:w="1931" w:type="dxa"/>
            <w:vAlign w:val="top"/>
          </w:tcPr>
          <w:p w14:paraId="77C8ABA0">
            <w:pPr>
              <w:spacing w:before="280" w:line="184" w:lineRule="auto"/>
              <w:ind w:left="833"/>
              <w:rPr>
                <w:rFonts w:ascii="宋体" w:hAnsi="宋体" w:eastAsia="宋体" w:cs="宋体"/>
                <w:sz w:val="22"/>
                <w:szCs w:val="22"/>
              </w:rPr>
            </w:pPr>
            <w:r>
              <w:rPr>
                <w:rFonts w:ascii="宋体" w:hAnsi="宋体" w:eastAsia="宋体" w:cs="宋体"/>
                <w:spacing w:val="-5"/>
                <w:sz w:val="22"/>
                <w:szCs w:val="22"/>
              </w:rPr>
              <w:t>350</w:t>
            </w:r>
          </w:p>
        </w:tc>
        <w:tc>
          <w:tcPr>
            <w:tcW w:w="1340" w:type="dxa"/>
            <w:vAlign w:val="top"/>
          </w:tcPr>
          <w:p w14:paraId="0A65A71C">
            <w:pPr>
              <w:spacing w:before="280" w:line="184" w:lineRule="auto"/>
              <w:ind w:left="546"/>
              <w:rPr>
                <w:rFonts w:ascii="宋体" w:hAnsi="宋体" w:eastAsia="宋体" w:cs="宋体"/>
                <w:sz w:val="22"/>
                <w:szCs w:val="22"/>
              </w:rPr>
            </w:pPr>
            <w:r>
              <w:rPr>
                <w:rFonts w:ascii="宋体" w:hAnsi="宋体" w:eastAsia="宋体" w:cs="宋体"/>
                <w:spacing w:val="-5"/>
                <w:sz w:val="22"/>
                <w:szCs w:val="22"/>
              </w:rPr>
              <w:t>300</w:t>
            </w:r>
          </w:p>
        </w:tc>
        <w:tc>
          <w:tcPr>
            <w:tcW w:w="1111" w:type="dxa"/>
            <w:vAlign w:val="top"/>
          </w:tcPr>
          <w:p w14:paraId="6F895008">
            <w:pPr>
              <w:spacing w:before="246" w:line="220" w:lineRule="auto"/>
              <w:ind w:left="322"/>
              <w:rPr>
                <w:rFonts w:ascii="宋体" w:hAnsi="宋体" w:eastAsia="宋体" w:cs="宋体"/>
                <w:sz w:val="22"/>
                <w:szCs w:val="22"/>
              </w:rPr>
            </w:pPr>
            <w:r>
              <w:rPr>
                <w:rFonts w:ascii="宋体" w:hAnsi="宋体" w:eastAsia="宋体" w:cs="宋体"/>
                <w:spacing w:val="-5"/>
                <w:sz w:val="22"/>
                <w:szCs w:val="22"/>
              </w:rPr>
              <w:t>5-9月</w:t>
            </w:r>
          </w:p>
        </w:tc>
        <w:tc>
          <w:tcPr>
            <w:tcW w:w="1801" w:type="dxa"/>
            <w:vAlign w:val="top"/>
          </w:tcPr>
          <w:p w14:paraId="1DC6A28C">
            <w:pPr>
              <w:spacing w:before="280" w:line="184" w:lineRule="auto"/>
              <w:ind w:left="783"/>
              <w:rPr>
                <w:rFonts w:ascii="宋体" w:hAnsi="宋体" w:eastAsia="宋体" w:cs="宋体"/>
                <w:sz w:val="22"/>
                <w:szCs w:val="22"/>
              </w:rPr>
            </w:pPr>
            <w:r>
              <w:rPr>
                <w:rFonts w:ascii="宋体" w:hAnsi="宋体" w:eastAsia="宋体" w:cs="宋体"/>
                <w:spacing w:val="-5"/>
                <w:sz w:val="22"/>
                <w:szCs w:val="22"/>
              </w:rPr>
              <w:t>525</w:t>
            </w:r>
          </w:p>
        </w:tc>
        <w:tc>
          <w:tcPr>
            <w:tcW w:w="1441" w:type="dxa"/>
            <w:vAlign w:val="top"/>
          </w:tcPr>
          <w:p w14:paraId="4D2DB4BA">
            <w:pPr>
              <w:spacing w:before="280" w:line="184" w:lineRule="auto"/>
              <w:ind w:left="590"/>
              <w:rPr>
                <w:rFonts w:ascii="宋体" w:hAnsi="宋体" w:eastAsia="宋体" w:cs="宋体"/>
                <w:sz w:val="22"/>
                <w:szCs w:val="22"/>
              </w:rPr>
            </w:pPr>
            <w:r>
              <w:rPr>
                <w:rFonts w:ascii="宋体" w:hAnsi="宋体" w:eastAsia="宋体" w:cs="宋体"/>
                <w:spacing w:val="-4"/>
                <w:sz w:val="22"/>
                <w:szCs w:val="22"/>
              </w:rPr>
              <w:t>450</w:t>
            </w:r>
          </w:p>
        </w:tc>
        <w:tc>
          <w:tcPr>
            <w:tcW w:w="1732" w:type="dxa"/>
            <w:vAlign w:val="top"/>
          </w:tcPr>
          <w:p w14:paraId="0CECFDD3">
            <w:pPr>
              <w:spacing w:before="280" w:line="184" w:lineRule="auto"/>
              <w:ind w:left="795"/>
              <w:rPr>
                <w:rFonts w:ascii="宋体" w:hAnsi="宋体" w:eastAsia="宋体" w:cs="宋体"/>
                <w:sz w:val="22"/>
                <w:szCs w:val="22"/>
              </w:rPr>
            </w:pPr>
            <w:r>
              <w:rPr>
                <w:rFonts w:ascii="宋体" w:hAnsi="宋体" w:eastAsia="宋体" w:cs="宋体"/>
                <w:spacing w:val="-5"/>
                <w:sz w:val="22"/>
                <w:szCs w:val="22"/>
              </w:rPr>
              <w:t>60</w:t>
            </w:r>
          </w:p>
        </w:tc>
      </w:tr>
      <w:tr w14:paraId="1B9CF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71" w:type="dxa"/>
            <w:vAlign w:val="top"/>
          </w:tcPr>
          <w:p w14:paraId="47B70762">
            <w:pPr>
              <w:spacing w:before="250" w:line="221" w:lineRule="auto"/>
              <w:ind w:left="304"/>
              <w:rPr>
                <w:rFonts w:ascii="宋体" w:hAnsi="宋体" w:eastAsia="宋体" w:cs="宋体"/>
                <w:sz w:val="22"/>
                <w:szCs w:val="22"/>
              </w:rPr>
            </w:pPr>
            <w:r>
              <w:rPr>
                <w:rFonts w:ascii="宋体" w:hAnsi="宋体" w:eastAsia="宋体" w:cs="宋体"/>
                <w:spacing w:val="-7"/>
                <w:sz w:val="22"/>
                <w:szCs w:val="22"/>
              </w:rPr>
              <w:t>果洛</w:t>
            </w:r>
          </w:p>
        </w:tc>
        <w:tc>
          <w:tcPr>
            <w:tcW w:w="1931" w:type="dxa"/>
            <w:vAlign w:val="top"/>
          </w:tcPr>
          <w:p w14:paraId="6CAEAEF2">
            <w:pPr>
              <w:spacing w:before="283" w:line="184" w:lineRule="auto"/>
              <w:ind w:left="833"/>
              <w:rPr>
                <w:rFonts w:ascii="宋体" w:hAnsi="宋体" w:eastAsia="宋体" w:cs="宋体"/>
                <w:sz w:val="22"/>
                <w:szCs w:val="22"/>
              </w:rPr>
            </w:pPr>
            <w:r>
              <w:rPr>
                <w:rFonts w:ascii="宋体" w:hAnsi="宋体" w:eastAsia="宋体" w:cs="宋体"/>
                <w:spacing w:val="-5"/>
                <w:sz w:val="22"/>
                <w:szCs w:val="22"/>
              </w:rPr>
              <w:t>350</w:t>
            </w:r>
          </w:p>
        </w:tc>
        <w:tc>
          <w:tcPr>
            <w:tcW w:w="1340" w:type="dxa"/>
            <w:vAlign w:val="top"/>
          </w:tcPr>
          <w:p w14:paraId="4B5E2A34">
            <w:pPr>
              <w:spacing w:before="283" w:line="184" w:lineRule="auto"/>
              <w:ind w:left="546"/>
              <w:rPr>
                <w:rFonts w:ascii="宋体" w:hAnsi="宋体" w:eastAsia="宋体" w:cs="宋体"/>
                <w:sz w:val="22"/>
                <w:szCs w:val="22"/>
              </w:rPr>
            </w:pPr>
            <w:r>
              <w:rPr>
                <w:rFonts w:ascii="宋体" w:hAnsi="宋体" w:eastAsia="宋体" w:cs="宋体"/>
                <w:spacing w:val="-5"/>
                <w:sz w:val="22"/>
                <w:szCs w:val="22"/>
              </w:rPr>
              <w:t>300</w:t>
            </w:r>
          </w:p>
        </w:tc>
        <w:tc>
          <w:tcPr>
            <w:tcW w:w="1111" w:type="dxa"/>
            <w:vAlign w:val="top"/>
          </w:tcPr>
          <w:p w14:paraId="22450068">
            <w:pPr>
              <w:spacing w:before="248" w:line="220" w:lineRule="auto"/>
              <w:ind w:left="322"/>
              <w:rPr>
                <w:rFonts w:ascii="宋体" w:hAnsi="宋体" w:eastAsia="宋体" w:cs="宋体"/>
                <w:sz w:val="22"/>
                <w:szCs w:val="22"/>
              </w:rPr>
            </w:pPr>
            <w:r>
              <w:rPr>
                <w:rFonts w:ascii="宋体" w:hAnsi="宋体" w:eastAsia="宋体" w:cs="宋体"/>
                <w:spacing w:val="-5"/>
                <w:sz w:val="22"/>
                <w:szCs w:val="22"/>
              </w:rPr>
              <w:t>5-9月</w:t>
            </w:r>
          </w:p>
        </w:tc>
        <w:tc>
          <w:tcPr>
            <w:tcW w:w="1801" w:type="dxa"/>
            <w:vAlign w:val="top"/>
          </w:tcPr>
          <w:p w14:paraId="518E0265">
            <w:pPr>
              <w:spacing w:before="283" w:line="184" w:lineRule="auto"/>
              <w:ind w:left="783"/>
              <w:rPr>
                <w:rFonts w:ascii="宋体" w:hAnsi="宋体" w:eastAsia="宋体" w:cs="宋体"/>
                <w:sz w:val="22"/>
                <w:szCs w:val="22"/>
              </w:rPr>
            </w:pPr>
            <w:r>
              <w:rPr>
                <w:rFonts w:ascii="宋体" w:hAnsi="宋体" w:eastAsia="宋体" w:cs="宋体"/>
                <w:spacing w:val="-5"/>
                <w:sz w:val="22"/>
                <w:szCs w:val="22"/>
              </w:rPr>
              <w:t>525</w:t>
            </w:r>
          </w:p>
        </w:tc>
        <w:tc>
          <w:tcPr>
            <w:tcW w:w="1441" w:type="dxa"/>
            <w:vAlign w:val="top"/>
          </w:tcPr>
          <w:p w14:paraId="7EAF2C63">
            <w:pPr>
              <w:spacing w:before="283" w:line="184" w:lineRule="auto"/>
              <w:ind w:left="590"/>
              <w:rPr>
                <w:rFonts w:ascii="宋体" w:hAnsi="宋体" w:eastAsia="宋体" w:cs="宋体"/>
                <w:sz w:val="22"/>
                <w:szCs w:val="22"/>
              </w:rPr>
            </w:pPr>
            <w:r>
              <w:rPr>
                <w:rFonts w:ascii="宋体" w:hAnsi="宋体" w:eastAsia="宋体" w:cs="宋体"/>
                <w:spacing w:val="-4"/>
                <w:sz w:val="22"/>
                <w:szCs w:val="22"/>
              </w:rPr>
              <w:t>450</w:t>
            </w:r>
          </w:p>
        </w:tc>
        <w:tc>
          <w:tcPr>
            <w:tcW w:w="1732" w:type="dxa"/>
            <w:vAlign w:val="top"/>
          </w:tcPr>
          <w:p w14:paraId="3CA92747">
            <w:pPr>
              <w:spacing w:before="283" w:line="184" w:lineRule="auto"/>
              <w:ind w:left="795"/>
              <w:rPr>
                <w:rFonts w:ascii="宋体" w:hAnsi="宋体" w:eastAsia="宋体" w:cs="宋体"/>
                <w:sz w:val="22"/>
                <w:szCs w:val="22"/>
              </w:rPr>
            </w:pPr>
            <w:r>
              <w:rPr>
                <w:rFonts w:ascii="宋体" w:hAnsi="宋体" w:eastAsia="宋体" w:cs="宋体"/>
                <w:spacing w:val="-5"/>
                <w:sz w:val="22"/>
                <w:szCs w:val="22"/>
              </w:rPr>
              <w:t>60</w:t>
            </w:r>
          </w:p>
        </w:tc>
      </w:tr>
    </w:tbl>
    <w:p w14:paraId="05D637EC">
      <w:pPr>
        <w:rPr>
          <w:rFonts w:ascii="Arial"/>
          <w:sz w:val="21"/>
        </w:rPr>
        <w:sectPr>
          <w:pgSz w:w="11905" w:h="16837"/>
          <w:pgMar w:top="400" w:right="327" w:bottom="400" w:left="327" w:header="0" w:footer="850" w:gutter="0"/>
          <w:pgNumType w:fmt="decimal"/>
          <w:cols w:space="720" w:num="1"/>
        </w:sectPr>
      </w:pPr>
    </w:p>
    <w:p w14:paraId="0F5B4EEA">
      <w:pPr>
        <w:shd w:val="clear" w:color="auto" w:fill="auto"/>
        <w:spacing w:line="480" w:lineRule="auto"/>
        <w:jc w:val="center"/>
        <w:rPr>
          <w:rFonts w:hint="eastAsia" w:ascii="方正小标宋简体" w:hAnsi="方正小标宋简体" w:eastAsia="方正小标宋简体" w:cs="方正小标宋简体"/>
          <w:color w:val="000000"/>
          <w:sz w:val="44"/>
          <w:szCs w:val="40"/>
          <w:highlight w:val="none"/>
          <w:lang w:eastAsia="zh-CN"/>
        </w:rPr>
      </w:pPr>
      <w:r>
        <w:rPr>
          <w:rFonts w:hint="eastAsia" w:ascii="方正小标宋简体" w:hAnsi="方正小标宋简体" w:eastAsia="方正小标宋简体" w:cs="方正小标宋简体"/>
          <w:color w:val="000000"/>
          <w:sz w:val="44"/>
          <w:szCs w:val="40"/>
          <w:highlight w:val="none"/>
          <w:lang w:eastAsia="zh-CN"/>
        </w:rPr>
        <w:t>青海省青海湖生态保护基金会</w:t>
      </w:r>
    </w:p>
    <w:p w14:paraId="01B15667">
      <w:pPr>
        <w:shd w:val="clear" w:color="auto" w:fill="auto"/>
        <w:spacing w:line="480" w:lineRule="auto"/>
        <w:jc w:val="center"/>
        <w:rPr>
          <w:rFonts w:hint="eastAsia" w:ascii="仿宋" w:hAnsi="仿宋" w:eastAsia="仿宋" w:cs="仿宋"/>
          <w:color w:val="000000"/>
          <w:sz w:val="56"/>
          <w:szCs w:val="52"/>
          <w:highlight w:val="none"/>
        </w:rPr>
      </w:pPr>
    </w:p>
    <w:p w14:paraId="7086999B">
      <w:pPr>
        <w:shd w:val="clear" w:color="auto" w:fill="auto"/>
        <w:spacing w:line="480" w:lineRule="auto"/>
        <w:jc w:val="center"/>
        <w:rPr>
          <w:rFonts w:hint="eastAsia" w:ascii="方正小标宋简体" w:hAnsi="方正小标宋简体" w:eastAsia="方正小标宋简体" w:cs="方正小标宋简体"/>
          <w:color w:val="000000"/>
          <w:sz w:val="96"/>
          <w:szCs w:val="72"/>
          <w:highlight w:val="none"/>
        </w:rPr>
      </w:pPr>
      <w:r>
        <w:rPr>
          <w:rFonts w:hint="eastAsia" w:ascii="方正小标宋简体" w:hAnsi="方正小标宋简体" w:eastAsia="方正小标宋简体" w:cs="方正小标宋简体"/>
          <w:color w:val="000000"/>
          <w:sz w:val="96"/>
          <w:szCs w:val="72"/>
          <w:highlight w:val="none"/>
        </w:rPr>
        <w:t>实习生手册</w:t>
      </w:r>
    </w:p>
    <w:p w14:paraId="01DC8EBF">
      <w:pPr>
        <w:shd w:val="clear" w:color="auto" w:fill="auto"/>
        <w:spacing w:line="480" w:lineRule="auto"/>
        <w:rPr>
          <w:rFonts w:hint="eastAsia" w:ascii="仿宋" w:hAnsi="仿宋" w:eastAsia="仿宋" w:cs="仿宋"/>
          <w:color w:val="000000"/>
          <w:sz w:val="28"/>
          <w:szCs w:val="24"/>
          <w:highlight w:val="none"/>
        </w:rPr>
      </w:pPr>
    </w:p>
    <w:p w14:paraId="4818E908">
      <w:pPr>
        <w:shd w:val="clear" w:color="auto" w:fill="auto"/>
        <w:spacing w:line="480" w:lineRule="auto"/>
        <w:jc w:val="center"/>
        <w:rPr>
          <w:rFonts w:hint="eastAsia" w:ascii="仿宋" w:hAnsi="仿宋" w:eastAsia="仿宋" w:cs="仿宋"/>
          <w:color w:val="000000"/>
          <w:highlight w:val="none"/>
        </w:rPr>
      </w:pPr>
    </w:p>
    <w:p w14:paraId="6D9058B0">
      <w:pPr>
        <w:shd w:val="clear" w:color="auto" w:fill="auto"/>
        <w:spacing w:line="480" w:lineRule="auto"/>
        <w:jc w:val="center"/>
        <w:rPr>
          <w:rFonts w:hint="eastAsia" w:ascii="仿宋" w:hAnsi="仿宋" w:eastAsia="仿宋" w:cs="仿宋"/>
          <w:color w:val="000000"/>
          <w:highlight w:val="none"/>
        </w:rPr>
      </w:pPr>
    </w:p>
    <w:p w14:paraId="4F274714">
      <w:pPr>
        <w:shd w:val="clear" w:color="auto" w:fill="auto"/>
        <w:spacing w:line="480" w:lineRule="auto"/>
        <w:jc w:val="center"/>
        <w:rPr>
          <w:rFonts w:hint="eastAsia" w:ascii="仿宋" w:hAnsi="仿宋" w:eastAsia="仿宋" w:cs="仿宋"/>
          <w:color w:val="000000"/>
          <w:highlight w:val="none"/>
        </w:rPr>
      </w:pPr>
    </w:p>
    <w:p w14:paraId="147E48EE">
      <w:pPr>
        <w:shd w:val="clear" w:color="auto" w:fill="auto"/>
        <w:spacing w:line="480" w:lineRule="auto"/>
        <w:jc w:val="center"/>
        <w:rPr>
          <w:rFonts w:hint="eastAsia" w:ascii="仿宋" w:hAnsi="仿宋" w:eastAsia="仿宋" w:cs="仿宋"/>
          <w:color w:val="000000"/>
          <w:sz w:val="28"/>
          <w:szCs w:val="24"/>
          <w:highlight w:val="none"/>
        </w:rPr>
      </w:pPr>
    </w:p>
    <w:p w14:paraId="70A23E4A">
      <w:pPr>
        <w:shd w:val="clear" w:color="auto" w:fill="auto"/>
        <w:spacing w:line="480" w:lineRule="auto"/>
        <w:jc w:val="center"/>
        <w:rPr>
          <w:rFonts w:hint="eastAsia" w:ascii="仿宋" w:hAnsi="仿宋" w:eastAsia="仿宋" w:cs="仿宋"/>
          <w:color w:val="000000"/>
          <w:sz w:val="28"/>
          <w:szCs w:val="24"/>
          <w:highlight w:val="none"/>
        </w:rPr>
      </w:pPr>
    </w:p>
    <w:p w14:paraId="6DD254DB">
      <w:pPr>
        <w:shd w:val="clear" w:color="auto" w:fill="auto"/>
        <w:spacing w:line="480" w:lineRule="auto"/>
        <w:jc w:val="center"/>
        <w:rPr>
          <w:rFonts w:hint="eastAsia" w:ascii="仿宋" w:hAnsi="仿宋" w:eastAsia="仿宋" w:cs="仿宋"/>
          <w:color w:val="000000"/>
          <w:sz w:val="28"/>
          <w:szCs w:val="24"/>
          <w:highlight w:val="none"/>
        </w:rPr>
      </w:pPr>
    </w:p>
    <w:p w14:paraId="2F842C07">
      <w:pPr>
        <w:shd w:val="clear" w:color="auto" w:fill="auto"/>
        <w:spacing w:line="480" w:lineRule="auto"/>
        <w:jc w:val="center"/>
        <w:rPr>
          <w:rFonts w:hint="eastAsia" w:ascii="方正小标宋简体" w:hAnsi="方正小标宋简体" w:eastAsia="方正小标宋简体" w:cs="方正小标宋简体"/>
          <w:color w:val="000000"/>
          <w:sz w:val="28"/>
          <w:szCs w:val="24"/>
          <w:highlight w:val="none"/>
          <w:lang w:eastAsia="zh-CN"/>
        </w:rPr>
      </w:pPr>
      <w:r>
        <w:rPr>
          <w:rFonts w:hint="eastAsia" w:ascii="方正小标宋简体" w:hAnsi="方正小标宋简体" w:eastAsia="方正小标宋简体" w:cs="方正小标宋简体"/>
          <w:color w:val="000000"/>
          <w:sz w:val="28"/>
          <w:szCs w:val="24"/>
          <w:highlight w:val="none"/>
          <w:lang w:eastAsia="zh-CN"/>
        </w:rPr>
        <w:t xml:space="preserve">青海 </w:t>
      </w:r>
      <w:r>
        <w:rPr>
          <w:rFonts w:hint="eastAsia" w:ascii="方正小标宋简体" w:hAnsi="方正小标宋简体" w:eastAsia="方正小标宋简体" w:cs="方正小标宋简体"/>
          <w:color w:val="000000"/>
          <w:sz w:val="28"/>
          <w:szCs w:val="24"/>
          <w:highlight w:val="none"/>
        </w:rPr>
        <w:t>·</w:t>
      </w:r>
      <w:r>
        <w:rPr>
          <w:rFonts w:hint="eastAsia" w:ascii="方正小标宋简体" w:hAnsi="方正小标宋简体" w:eastAsia="方正小标宋简体" w:cs="方正小标宋简体"/>
          <w:color w:val="000000"/>
          <w:sz w:val="28"/>
          <w:szCs w:val="24"/>
          <w:highlight w:val="none"/>
          <w:lang w:val="en-US" w:eastAsia="zh-CN"/>
        </w:rPr>
        <w:t xml:space="preserve">西宁 </w:t>
      </w:r>
    </w:p>
    <w:p w14:paraId="73559BC7">
      <w:pPr>
        <w:shd w:val="clear" w:color="auto" w:fill="auto"/>
        <w:spacing w:line="480" w:lineRule="auto"/>
        <w:jc w:val="center"/>
        <w:rPr>
          <w:rFonts w:hint="eastAsia" w:ascii="方正小标宋简体" w:hAnsi="方正小标宋简体" w:eastAsia="方正小标宋简体" w:cs="方正小标宋简体"/>
          <w:color w:val="000000"/>
          <w:sz w:val="28"/>
          <w:szCs w:val="24"/>
          <w:highlight w:val="none"/>
        </w:rPr>
      </w:pPr>
      <w:r>
        <w:rPr>
          <w:rFonts w:hint="eastAsia" w:ascii="方正小标宋简体" w:hAnsi="方正小标宋简体" w:eastAsia="方正小标宋简体" w:cs="方正小标宋简体"/>
          <w:color w:val="000000"/>
          <w:sz w:val="28"/>
          <w:szCs w:val="24"/>
          <w:highlight w:val="none"/>
          <w:lang w:eastAsia="zh-CN"/>
        </w:rPr>
        <w:t>202</w:t>
      </w:r>
      <w:r>
        <w:rPr>
          <w:rFonts w:hint="eastAsia" w:ascii="方正小标宋简体" w:hAnsi="方正小标宋简体" w:eastAsia="方正小标宋简体" w:cs="方正小标宋简体"/>
          <w:color w:val="000000"/>
          <w:sz w:val="28"/>
          <w:szCs w:val="24"/>
          <w:highlight w:val="none"/>
          <w:lang w:val="en-US" w:eastAsia="zh-CN"/>
        </w:rPr>
        <w:t>4</w:t>
      </w:r>
      <w:r>
        <w:rPr>
          <w:rFonts w:hint="eastAsia" w:ascii="方正小标宋简体" w:hAnsi="方正小标宋简体" w:eastAsia="方正小标宋简体" w:cs="方正小标宋简体"/>
          <w:color w:val="000000"/>
          <w:sz w:val="28"/>
          <w:szCs w:val="24"/>
          <w:highlight w:val="none"/>
          <w:lang w:eastAsia="zh-CN"/>
        </w:rPr>
        <w:t>年</w:t>
      </w:r>
      <w:r>
        <w:rPr>
          <w:rFonts w:hint="eastAsia" w:ascii="方正小标宋简体" w:hAnsi="方正小标宋简体" w:eastAsia="方正小标宋简体" w:cs="方正小标宋简体"/>
          <w:color w:val="000000"/>
          <w:sz w:val="28"/>
          <w:szCs w:val="24"/>
          <w:highlight w:val="none"/>
        </w:rPr>
        <w:t>修</w:t>
      </w:r>
      <w:r>
        <w:rPr>
          <w:rFonts w:hint="eastAsia" w:ascii="方正小标宋简体" w:hAnsi="方正小标宋简体" w:eastAsia="方正小标宋简体" w:cs="方正小标宋简体"/>
          <w:color w:val="000000"/>
          <w:sz w:val="28"/>
          <w:szCs w:val="24"/>
          <w:highlight w:val="none"/>
          <w:lang w:val="en-US" w:eastAsia="zh-CN"/>
        </w:rPr>
        <w:t>订</w:t>
      </w:r>
      <w:r>
        <w:rPr>
          <w:rFonts w:hint="eastAsia" w:ascii="方正小标宋简体" w:hAnsi="方正小标宋简体" w:eastAsia="方正小标宋简体" w:cs="方正小标宋简体"/>
          <w:color w:val="000000"/>
          <w:sz w:val="28"/>
          <w:szCs w:val="24"/>
          <w:highlight w:val="none"/>
        </w:rPr>
        <w:t>版</w:t>
      </w:r>
    </w:p>
    <w:p w14:paraId="40A14043">
      <w:pPr>
        <w:shd w:val="clear" w:color="auto" w:fill="auto"/>
        <w:spacing w:line="480" w:lineRule="auto"/>
        <w:jc w:val="center"/>
        <w:rPr>
          <w:rFonts w:hint="eastAsia" w:ascii="仿宋" w:hAnsi="仿宋" w:eastAsia="仿宋" w:cs="仿宋"/>
          <w:b/>
          <w:bCs/>
          <w:color w:val="000000"/>
          <w:sz w:val="28"/>
          <w:szCs w:val="24"/>
          <w:highlight w:val="none"/>
        </w:rPr>
      </w:pPr>
    </w:p>
    <w:p w14:paraId="1D91D8ED">
      <w:pPr>
        <w:shd w:val="clear" w:color="auto" w:fill="auto"/>
        <w:spacing w:line="720" w:lineRule="auto"/>
        <w:rPr>
          <w:rFonts w:hint="eastAsia" w:ascii="仿宋" w:hAnsi="仿宋" w:eastAsia="仿宋" w:cs="仿宋"/>
          <w:b/>
          <w:bCs/>
          <w:color w:val="000000"/>
          <w:sz w:val="32"/>
          <w:szCs w:val="28"/>
          <w:highlight w:val="none"/>
        </w:rPr>
        <w:sectPr>
          <w:pgSz w:w="11906" w:h="16838"/>
          <w:pgMar w:top="1440" w:right="1800" w:bottom="1440" w:left="1800" w:header="851" w:footer="992" w:gutter="0"/>
          <w:pgNumType w:fmt="decimal"/>
          <w:cols w:space="720" w:num="1"/>
          <w:docGrid w:type="lines" w:linePitch="312" w:charSpace="0"/>
        </w:sectPr>
      </w:pPr>
    </w:p>
    <w:p w14:paraId="3A96D730">
      <w:pPr>
        <w:numPr>
          <w:ilvl w:val="0"/>
          <w:numId w:val="1"/>
        </w:numPr>
        <w:shd w:val="clear" w:color="auto" w:fill="auto"/>
        <w:spacing w:line="48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rPr>
        <w:t>实习生登记表</w:t>
      </w:r>
    </w:p>
    <w:p w14:paraId="5C70B335">
      <w:pPr>
        <w:shd w:val="clear" w:color="auto" w:fill="auto"/>
        <w:jc w:val="center"/>
        <w:rPr>
          <w:rFonts w:hint="eastAsia" w:ascii="仿宋" w:hAnsi="仿宋" w:eastAsia="仿宋" w:cs="仿宋"/>
          <w:color w:val="000000"/>
          <w:sz w:val="28"/>
          <w:highlight w:val="none"/>
          <w:u w:val="single"/>
        </w:rPr>
      </w:pPr>
      <w:r>
        <w:rPr>
          <w:rFonts w:hint="eastAsia" w:ascii="仿宋" w:hAnsi="仿宋" w:eastAsia="仿宋" w:cs="仿宋"/>
          <w:b/>
          <w:bCs/>
          <w:color w:val="000000"/>
          <w:sz w:val="32"/>
          <w:szCs w:val="32"/>
          <w:highlight w:val="none"/>
          <w:lang w:eastAsia="zh-CN"/>
        </w:rPr>
        <w:t>青海省青海湖生态保护基金会</w:t>
      </w:r>
      <w:r>
        <w:rPr>
          <w:rFonts w:hint="eastAsia" w:ascii="仿宋" w:hAnsi="仿宋" w:eastAsia="仿宋" w:cs="仿宋"/>
          <w:b/>
          <w:bCs/>
          <w:color w:val="000000"/>
          <w:sz w:val="32"/>
          <w:szCs w:val="32"/>
          <w:highlight w:val="none"/>
        </w:rPr>
        <w:t>实习生登记表</w:t>
      </w:r>
    </w:p>
    <w:tbl>
      <w:tblPr>
        <w:tblStyle w:val="4"/>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995"/>
        <w:gridCol w:w="62"/>
        <w:gridCol w:w="1198"/>
        <w:gridCol w:w="819"/>
        <w:gridCol w:w="34"/>
        <w:gridCol w:w="1260"/>
        <w:gridCol w:w="12"/>
        <w:gridCol w:w="1115"/>
        <w:gridCol w:w="229"/>
        <w:gridCol w:w="732"/>
        <w:gridCol w:w="1536"/>
      </w:tblGrid>
      <w:tr w14:paraId="11E1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noWrap w:val="0"/>
            <w:vAlign w:val="top"/>
          </w:tcPr>
          <w:p w14:paraId="73968246">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姓名</w:t>
            </w:r>
          </w:p>
        </w:tc>
        <w:tc>
          <w:tcPr>
            <w:tcW w:w="1057" w:type="dxa"/>
            <w:gridSpan w:val="2"/>
            <w:noWrap w:val="0"/>
            <w:vAlign w:val="top"/>
          </w:tcPr>
          <w:p w14:paraId="4A0241A7">
            <w:pPr>
              <w:shd w:val="clear" w:color="auto" w:fill="auto"/>
              <w:spacing w:line="360" w:lineRule="auto"/>
              <w:jc w:val="center"/>
              <w:textAlignment w:val="baseline"/>
              <w:rPr>
                <w:rFonts w:hint="eastAsia" w:ascii="仿宋" w:hAnsi="仿宋" w:eastAsia="仿宋" w:cs="仿宋"/>
                <w:color w:val="000000"/>
                <w:sz w:val="24"/>
                <w:highlight w:val="none"/>
              </w:rPr>
            </w:pPr>
          </w:p>
        </w:tc>
        <w:tc>
          <w:tcPr>
            <w:tcW w:w="1198" w:type="dxa"/>
            <w:noWrap w:val="0"/>
            <w:vAlign w:val="top"/>
          </w:tcPr>
          <w:p w14:paraId="60E6C3DD">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性别</w:t>
            </w:r>
          </w:p>
        </w:tc>
        <w:tc>
          <w:tcPr>
            <w:tcW w:w="819" w:type="dxa"/>
            <w:noWrap w:val="0"/>
            <w:vAlign w:val="top"/>
          </w:tcPr>
          <w:p w14:paraId="6F0CAC43">
            <w:pPr>
              <w:shd w:val="clear" w:color="auto" w:fill="auto"/>
              <w:spacing w:line="360" w:lineRule="auto"/>
              <w:jc w:val="center"/>
              <w:textAlignment w:val="baseline"/>
              <w:rPr>
                <w:rFonts w:hint="eastAsia" w:ascii="仿宋" w:hAnsi="仿宋" w:eastAsia="仿宋" w:cs="仿宋"/>
                <w:color w:val="000000"/>
                <w:sz w:val="24"/>
                <w:highlight w:val="none"/>
              </w:rPr>
            </w:pPr>
          </w:p>
        </w:tc>
        <w:tc>
          <w:tcPr>
            <w:tcW w:w="1306" w:type="dxa"/>
            <w:gridSpan w:val="3"/>
            <w:noWrap w:val="0"/>
            <w:vAlign w:val="top"/>
          </w:tcPr>
          <w:p w14:paraId="11E428C4">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出生年月</w:t>
            </w:r>
          </w:p>
        </w:tc>
        <w:tc>
          <w:tcPr>
            <w:tcW w:w="1344" w:type="dxa"/>
            <w:gridSpan w:val="2"/>
            <w:noWrap w:val="0"/>
            <w:vAlign w:val="top"/>
          </w:tcPr>
          <w:p w14:paraId="5D88D43C">
            <w:pPr>
              <w:shd w:val="clear" w:color="auto" w:fill="auto"/>
              <w:spacing w:line="360" w:lineRule="auto"/>
              <w:jc w:val="center"/>
              <w:textAlignment w:val="baseline"/>
              <w:rPr>
                <w:rFonts w:hint="eastAsia" w:ascii="仿宋" w:hAnsi="仿宋" w:eastAsia="仿宋" w:cs="仿宋"/>
                <w:color w:val="000000"/>
                <w:sz w:val="24"/>
                <w:highlight w:val="none"/>
              </w:rPr>
            </w:pPr>
          </w:p>
        </w:tc>
        <w:tc>
          <w:tcPr>
            <w:tcW w:w="2268" w:type="dxa"/>
            <w:gridSpan w:val="2"/>
            <w:vMerge w:val="restart"/>
            <w:noWrap w:val="0"/>
            <w:vAlign w:val="top"/>
          </w:tcPr>
          <w:p w14:paraId="0C8C63E4">
            <w:pPr>
              <w:shd w:val="clear" w:color="auto" w:fill="auto"/>
              <w:spacing w:line="360" w:lineRule="auto"/>
              <w:jc w:val="center"/>
              <w:textAlignment w:val="baseline"/>
              <w:rPr>
                <w:rFonts w:hint="eastAsia" w:ascii="仿宋" w:hAnsi="仿宋" w:eastAsia="仿宋" w:cs="仿宋"/>
                <w:color w:val="000000"/>
                <w:sz w:val="24"/>
                <w:highlight w:val="none"/>
              </w:rPr>
            </w:pPr>
          </w:p>
          <w:p w14:paraId="31DD90C8">
            <w:pPr>
              <w:shd w:val="clear" w:color="auto" w:fill="auto"/>
              <w:spacing w:line="360" w:lineRule="auto"/>
              <w:jc w:val="center"/>
              <w:textAlignment w:val="baseline"/>
              <w:rPr>
                <w:rFonts w:hint="eastAsia" w:ascii="仿宋" w:hAnsi="仿宋" w:eastAsia="仿宋" w:cs="仿宋"/>
                <w:color w:val="000000"/>
                <w:sz w:val="24"/>
                <w:highlight w:val="none"/>
              </w:rPr>
            </w:pPr>
          </w:p>
          <w:p w14:paraId="11A6BA48">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照片</w:t>
            </w:r>
          </w:p>
          <w:p w14:paraId="22252532">
            <w:pPr>
              <w:shd w:val="clear" w:color="auto" w:fill="auto"/>
              <w:spacing w:line="360" w:lineRule="auto"/>
              <w:jc w:val="center"/>
              <w:textAlignment w:val="baseline"/>
              <w:rPr>
                <w:rFonts w:hint="eastAsia" w:ascii="仿宋" w:hAnsi="仿宋" w:eastAsia="仿宋" w:cs="仿宋"/>
                <w:color w:val="000000"/>
                <w:sz w:val="24"/>
                <w:highlight w:val="none"/>
              </w:rPr>
            </w:pPr>
          </w:p>
        </w:tc>
      </w:tr>
      <w:tr w14:paraId="2837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noWrap w:val="0"/>
            <w:vAlign w:val="top"/>
          </w:tcPr>
          <w:p w14:paraId="16EFB272">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民族</w:t>
            </w:r>
          </w:p>
        </w:tc>
        <w:tc>
          <w:tcPr>
            <w:tcW w:w="1057" w:type="dxa"/>
            <w:gridSpan w:val="2"/>
            <w:noWrap w:val="0"/>
            <w:vAlign w:val="top"/>
          </w:tcPr>
          <w:p w14:paraId="49897A9B">
            <w:pPr>
              <w:shd w:val="clear" w:color="auto" w:fill="auto"/>
              <w:spacing w:line="360" w:lineRule="auto"/>
              <w:textAlignment w:val="baseline"/>
              <w:rPr>
                <w:rFonts w:hint="eastAsia" w:ascii="仿宋" w:hAnsi="仿宋" w:eastAsia="仿宋" w:cs="仿宋"/>
                <w:color w:val="000000"/>
                <w:sz w:val="24"/>
                <w:highlight w:val="none"/>
              </w:rPr>
            </w:pPr>
          </w:p>
        </w:tc>
        <w:tc>
          <w:tcPr>
            <w:tcW w:w="1198" w:type="dxa"/>
            <w:noWrap w:val="0"/>
            <w:vAlign w:val="top"/>
          </w:tcPr>
          <w:p w14:paraId="3E19A5D7">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籍贯</w:t>
            </w:r>
          </w:p>
        </w:tc>
        <w:tc>
          <w:tcPr>
            <w:tcW w:w="819" w:type="dxa"/>
            <w:noWrap w:val="0"/>
            <w:vAlign w:val="top"/>
          </w:tcPr>
          <w:p w14:paraId="05F1626B">
            <w:pPr>
              <w:shd w:val="clear" w:color="auto" w:fill="auto"/>
              <w:spacing w:line="360" w:lineRule="auto"/>
              <w:jc w:val="center"/>
              <w:textAlignment w:val="baseline"/>
              <w:rPr>
                <w:rFonts w:hint="eastAsia" w:ascii="仿宋" w:hAnsi="仿宋" w:eastAsia="仿宋" w:cs="仿宋"/>
                <w:color w:val="000000"/>
                <w:sz w:val="24"/>
                <w:highlight w:val="none"/>
              </w:rPr>
            </w:pPr>
          </w:p>
        </w:tc>
        <w:tc>
          <w:tcPr>
            <w:tcW w:w="1306" w:type="dxa"/>
            <w:gridSpan w:val="3"/>
            <w:noWrap w:val="0"/>
            <w:vAlign w:val="top"/>
          </w:tcPr>
          <w:p w14:paraId="26E44C29">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政治面貌</w:t>
            </w:r>
          </w:p>
        </w:tc>
        <w:tc>
          <w:tcPr>
            <w:tcW w:w="1344" w:type="dxa"/>
            <w:gridSpan w:val="2"/>
            <w:noWrap w:val="0"/>
            <w:vAlign w:val="top"/>
          </w:tcPr>
          <w:p w14:paraId="269B53A8">
            <w:pPr>
              <w:shd w:val="clear" w:color="auto" w:fill="auto"/>
              <w:spacing w:line="360" w:lineRule="auto"/>
              <w:jc w:val="center"/>
              <w:textAlignment w:val="baseline"/>
              <w:rPr>
                <w:rFonts w:hint="eastAsia" w:ascii="仿宋" w:hAnsi="仿宋" w:eastAsia="仿宋" w:cs="仿宋"/>
                <w:color w:val="000000"/>
                <w:sz w:val="24"/>
                <w:highlight w:val="none"/>
              </w:rPr>
            </w:pPr>
          </w:p>
        </w:tc>
        <w:tc>
          <w:tcPr>
            <w:tcW w:w="2268" w:type="dxa"/>
            <w:gridSpan w:val="2"/>
            <w:vMerge w:val="continue"/>
            <w:noWrap w:val="0"/>
            <w:vAlign w:val="top"/>
          </w:tcPr>
          <w:p w14:paraId="2AF33B07">
            <w:pPr>
              <w:shd w:val="clear" w:color="auto" w:fill="auto"/>
              <w:spacing w:line="360" w:lineRule="auto"/>
              <w:jc w:val="center"/>
              <w:textAlignment w:val="baseline"/>
              <w:rPr>
                <w:rFonts w:hint="eastAsia" w:ascii="仿宋" w:hAnsi="仿宋" w:eastAsia="仿宋" w:cs="仿宋"/>
                <w:color w:val="000000"/>
                <w:sz w:val="24"/>
                <w:highlight w:val="none"/>
              </w:rPr>
            </w:pPr>
          </w:p>
        </w:tc>
      </w:tr>
      <w:tr w14:paraId="5B56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noWrap w:val="0"/>
            <w:vAlign w:val="top"/>
          </w:tcPr>
          <w:p w14:paraId="0E4AB796">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学历</w:t>
            </w:r>
          </w:p>
        </w:tc>
        <w:tc>
          <w:tcPr>
            <w:tcW w:w="1057" w:type="dxa"/>
            <w:gridSpan w:val="2"/>
            <w:noWrap w:val="0"/>
            <w:vAlign w:val="top"/>
          </w:tcPr>
          <w:p w14:paraId="29FCA660">
            <w:pPr>
              <w:shd w:val="clear" w:color="auto" w:fill="auto"/>
              <w:spacing w:line="360" w:lineRule="auto"/>
              <w:jc w:val="center"/>
              <w:textAlignment w:val="baseline"/>
              <w:rPr>
                <w:rFonts w:hint="eastAsia" w:ascii="仿宋" w:hAnsi="仿宋" w:eastAsia="仿宋" w:cs="仿宋"/>
                <w:color w:val="000000"/>
                <w:sz w:val="24"/>
                <w:highlight w:val="none"/>
              </w:rPr>
            </w:pPr>
          </w:p>
        </w:tc>
        <w:tc>
          <w:tcPr>
            <w:tcW w:w="1198" w:type="dxa"/>
            <w:noWrap w:val="0"/>
            <w:vAlign w:val="top"/>
          </w:tcPr>
          <w:p w14:paraId="62920AEA">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学位</w:t>
            </w:r>
          </w:p>
        </w:tc>
        <w:tc>
          <w:tcPr>
            <w:tcW w:w="819" w:type="dxa"/>
            <w:noWrap w:val="0"/>
            <w:vAlign w:val="top"/>
          </w:tcPr>
          <w:p w14:paraId="2BF1E223">
            <w:pPr>
              <w:shd w:val="clear" w:color="auto" w:fill="auto"/>
              <w:spacing w:line="360" w:lineRule="auto"/>
              <w:jc w:val="center"/>
              <w:textAlignment w:val="baseline"/>
              <w:rPr>
                <w:rFonts w:hint="eastAsia" w:ascii="仿宋" w:hAnsi="仿宋" w:eastAsia="仿宋" w:cs="仿宋"/>
                <w:color w:val="000000"/>
                <w:sz w:val="24"/>
                <w:highlight w:val="none"/>
              </w:rPr>
            </w:pPr>
          </w:p>
        </w:tc>
        <w:tc>
          <w:tcPr>
            <w:tcW w:w="1306" w:type="dxa"/>
            <w:gridSpan w:val="3"/>
            <w:noWrap w:val="0"/>
            <w:vAlign w:val="top"/>
          </w:tcPr>
          <w:p w14:paraId="0427D8B0">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专    业</w:t>
            </w:r>
          </w:p>
        </w:tc>
        <w:tc>
          <w:tcPr>
            <w:tcW w:w="1344" w:type="dxa"/>
            <w:gridSpan w:val="2"/>
            <w:noWrap w:val="0"/>
            <w:vAlign w:val="top"/>
          </w:tcPr>
          <w:p w14:paraId="470F4A9F">
            <w:pPr>
              <w:shd w:val="clear" w:color="auto" w:fill="auto"/>
              <w:spacing w:line="360" w:lineRule="auto"/>
              <w:jc w:val="center"/>
              <w:textAlignment w:val="baseline"/>
              <w:rPr>
                <w:rFonts w:hint="eastAsia" w:ascii="仿宋" w:hAnsi="仿宋" w:eastAsia="仿宋" w:cs="仿宋"/>
                <w:color w:val="000000"/>
                <w:sz w:val="24"/>
                <w:highlight w:val="none"/>
              </w:rPr>
            </w:pPr>
          </w:p>
        </w:tc>
        <w:tc>
          <w:tcPr>
            <w:tcW w:w="2268" w:type="dxa"/>
            <w:gridSpan w:val="2"/>
            <w:vMerge w:val="continue"/>
            <w:noWrap w:val="0"/>
            <w:vAlign w:val="top"/>
          </w:tcPr>
          <w:p w14:paraId="6E1C1E1D">
            <w:pPr>
              <w:shd w:val="clear" w:color="auto" w:fill="auto"/>
              <w:spacing w:line="360" w:lineRule="auto"/>
              <w:jc w:val="center"/>
              <w:textAlignment w:val="baseline"/>
              <w:rPr>
                <w:rFonts w:hint="eastAsia" w:ascii="仿宋" w:hAnsi="仿宋" w:eastAsia="仿宋" w:cs="仿宋"/>
                <w:color w:val="000000"/>
                <w:sz w:val="24"/>
                <w:highlight w:val="none"/>
              </w:rPr>
            </w:pPr>
          </w:p>
        </w:tc>
      </w:tr>
      <w:tr w14:paraId="7882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453" w:type="dxa"/>
            <w:noWrap w:val="0"/>
            <w:vAlign w:val="top"/>
          </w:tcPr>
          <w:p w14:paraId="1943C40B">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实习时间</w:t>
            </w:r>
          </w:p>
        </w:tc>
        <w:tc>
          <w:tcPr>
            <w:tcW w:w="1057" w:type="dxa"/>
            <w:gridSpan w:val="2"/>
            <w:noWrap w:val="0"/>
            <w:vAlign w:val="top"/>
          </w:tcPr>
          <w:p w14:paraId="390EB6C0">
            <w:pPr>
              <w:shd w:val="clear" w:color="auto" w:fill="auto"/>
              <w:spacing w:line="360" w:lineRule="auto"/>
              <w:jc w:val="center"/>
              <w:textAlignment w:val="baseline"/>
              <w:rPr>
                <w:rFonts w:hint="eastAsia" w:ascii="仿宋" w:hAnsi="仿宋" w:eastAsia="仿宋" w:cs="仿宋"/>
                <w:color w:val="000000"/>
                <w:sz w:val="24"/>
                <w:highlight w:val="none"/>
              </w:rPr>
            </w:pPr>
          </w:p>
        </w:tc>
        <w:tc>
          <w:tcPr>
            <w:tcW w:w="1198" w:type="dxa"/>
            <w:noWrap w:val="0"/>
            <w:vAlign w:val="top"/>
          </w:tcPr>
          <w:p w14:paraId="4694B9A2">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所在院校</w:t>
            </w:r>
          </w:p>
        </w:tc>
        <w:tc>
          <w:tcPr>
            <w:tcW w:w="3469" w:type="dxa"/>
            <w:gridSpan w:val="6"/>
            <w:noWrap w:val="0"/>
            <w:vAlign w:val="top"/>
          </w:tcPr>
          <w:p w14:paraId="73761662">
            <w:pPr>
              <w:shd w:val="clear" w:color="auto" w:fill="auto"/>
              <w:spacing w:line="360" w:lineRule="auto"/>
              <w:jc w:val="center"/>
              <w:textAlignment w:val="baseline"/>
              <w:rPr>
                <w:rFonts w:hint="eastAsia" w:ascii="仿宋" w:hAnsi="仿宋" w:eastAsia="仿宋" w:cs="仿宋"/>
                <w:color w:val="000000"/>
                <w:sz w:val="24"/>
                <w:highlight w:val="none"/>
              </w:rPr>
            </w:pPr>
          </w:p>
        </w:tc>
        <w:tc>
          <w:tcPr>
            <w:tcW w:w="2268" w:type="dxa"/>
            <w:gridSpan w:val="2"/>
            <w:vMerge w:val="continue"/>
            <w:noWrap w:val="0"/>
            <w:vAlign w:val="top"/>
          </w:tcPr>
          <w:p w14:paraId="696DF82D">
            <w:pPr>
              <w:shd w:val="clear" w:color="auto" w:fill="auto"/>
              <w:spacing w:line="360" w:lineRule="auto"/>
              <w:jc w:val="center"/>
              <w:textAlignment w:val="baseline"/>
              <w:rPr>
                <w:rFonts w:hint="eastAsia" w:ascii="仿宋" w:hAnsi="仿宋" w:eastAsia="仿宋" w:cs="仿宋"/>
                <w:color w:val="000000"/>
                <w:sz w:val="24"/>
                <w:highlight w:val="none"/>
              </w:rPr>
            </w:pPr>
          </w:p>
        </w:tc>
      </w:tr>
      <w:tr w14:paraId="60DC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noWrap w:val="0"/>
            <w:vAlign w:val="top"/>
          </w:tcPr>
          <w:p w14:paraId="6FD20473">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户籍地址</w:t>
            </w:r>
          </w:p>
        </w:tc>
        <w:tc>
          <w:tcPr>
            <w:tcW w:w="5724" w:type="dxa"/>
            <w:gridSpan w:val="9"/>
            <w:noWrap w:val="0"/>
            <w:vAlign w:val="top"/>
          </w:tcPr>
          <w:p w14:paraId="556D4E32">
            <w:pPr>
              <w:shd w:val="clear" w:color="auto" w:fill="auto"/>
              <w:spacing w:line="360" w:lineRule="auto"/>
              <w:jc w:val="center"/>
              <w:textAlignment w:val="baseline"/>
              <w:rPr>
                <w:rFonts w:hint="eastAsia" w:ascii="仿宋" w:hAnsi="仿宋" w:eastAsia="仿宋" w:cs="仿宋"/>
                <w:color w:val="000000"/>
                <w:sz w:val="24"/>
                <w:highlight w:val="none"/>
              </w:rPr>
            </w:pPr>
          </w:p>
        </w:tc>
        <w:tc>
          <w:tcPr>
            <w:tcW w:w="732" w:type="dxa"/>
            <w:noWrap w:val="0"/>
            <w:vAlign w:val="top"/>
          </w:tcPr>
          <w:p w14:paraId="37577188">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邮编</w:t>
            </w:r>
          </w:p>
        </w:tc>
        <w:tc>
          <w:tcPr>
            <w:tcW w:w="1536" w:type="dxa"/>
            <w:noWrap w:val="0"/>
            <w:vAlign w:val="top"/>
          </w:tcPr>
          <w:p w14:paraId="22F6519D">
            <w:pPr>
              <w:shd w:val="clear" w:color="auto" w:fill="auto"/>
              <w:spacing w:line="360" w:lineRule="auto"/>
              <w:jc w:val="center"/>
              <w:textAlignment w:val="baseline"/>
              <w:rPr>
                <w:rFonts w:hint="eastAsia" w:ascii="仿宋" w:hAnsi="仿宋" w:eastAsia="仿宋" w:cs="仿宋"/>
                <w:color w:val="000000"/>
                <w:sz w:val="24"/>
                <w:highlight w:val="none"/>
              </w:rPr>
            </w:pPr>
          </w:p>
        </w:tc>
      </w:tr>
      <w:tr w14:paraId="74A4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noWrap w:val="0"/>
            <w:vAlign w:val="top"/>
          </w:tcPr>
          <w:p w14:paraId="77DE8347">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现居地址</w:t>
            </w:r>
          </w:p>
        </w:tc>
        <w:tc>
          <w:tcPr>
            <w:tcW w:w="5724" w:type="dxa"/>
            <w:gridSpan w:val="9"/>
            <w:noWrap w:val="0"/>
            <w:vAlign w:val="top"/>
          </w:tcPr>
          <w:p w14:paraId="4A0A3464">
            <w:pPr>
              <w:shd w:val="clear" w:color="auto" w:fill="auto"/>
              <w:spacing w:line="360" w:lineRule="auto"/>
              <w:jc w:val="center"/>
              <w:textAlignment w:val="baseline"/>
              <w:rPr>
                <w:rFonts w:hint="eastAsia" w:ascii="仿宋" w:hAnsi="仿宋" w:eastAsia="仿宋" w:cs="仿宋"/>
                <w:color w:val="000000"/>
                <w:sz w:val="24"/>
                <w:highlight w:val="none"/>
              </w:rPr>
            </w:pPr>
          </w:p>
        </w:tc>
        <w:tc>
          <w:tcPr>
            <w:tcW w:w="732" w:type="dxa"/>
            <w:noWrap w:val="0"/>
            <w:vAlign w:val="top"/>
          </w:tcPr>
          <w:p w14:paraId="65046046">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邮编</w:t>
            </w:r>
          </w:p>
        </w:tc>
        <w:tc>
          <w:tcPr>
            <w:tcW w:w="1536" w:type="dxa"/>
            <w:noWrap w:val="0"/>
            <w:vAlign w:val="top"/>
          </w:tcPr>
          <w:p w14:paraId="26B42B22">
            <w:pPr>
              <w:shd w:val="clear" w:color="auto" w:fill="auto"/>
              <w:spacing w:line="360" w:lineRule="auto"/>
              <w:jc w:val="center"/>
              <w:textAlignment w:val="baseline"/>
              <w:rPr>
                <w:rFonts w:hint="eastAsia" w:ascii="仿宋" w:hAnsi="仿宋" w:eastAsia="仿宋" w:cs="仿宋"/>
                <w:color w:val="000000"/>
                <w:sz w:val="24"/>
                <w:highlight w:val="none"/>
              </w:rPr>
            </w:pPr>
          </w:p>
        </w:tc>
      </w:tr>
      <w:tr w14:paraId="3E90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noWrap w:val="0"/>
            <w:vAlign w:val="top"/>
          </w:tcPr>
          <w:p w14:paraId="2DED4C90">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身份证号码</w:t>
            </w:r>
          </w:p>
        </w:tc>
        <w:tc>
          <w:tcPr>
            <w:tcW w:w="3108" w:type="dxa"/>
            <w:gridSpan w:val="5"/>
            <w:noWrap w:val="0"/>
            <w:vAlign w:val="top"/>
          </w:tcPr>
          <w:p w14:paraId="1A7F5191">
            <w:pPr>
              <w:shd w:val="clear" w:color="auto" w:fill="auto"/>
              <w:spacing w:line="360" w:lineRule="auto"/>
              <w:jc w:val="center"/>
              <w:textAlignment w:val="baseline"/>
              <w:rPr>
                <w:rFonts w:hint="eastAsia" w:ascii="仿宋" w:hAnsi="仿宋" w:eastAsia="仿宋" w:cs="仿宋"/>
                <w:color w:val="000000"/>
                <w:sz w:val="24"/>
                <w:highlight w:val="none"/>
              </w:rPr>
            </w:pPr>
          </w:p>
        </w:tc>
        <w:tc>
          <w:tcPr>
            <w:tcW w:w="1260" w:type="dxa"/>
            <w:noWrap w:val="0"/>
            <w:vAlign w:val="top"/>
          </w:tcPr>
          <w:p w14:paraId="38C81CBF">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电子邮件</w:t>
            </w:r>
          </w:p>
        </w:tc>
        <w:tc>
          <w:tcPr>
            <w:tcW w:w="3624" w:type="dxa"/>
            <w:gridSpan w:val="5"/>
            <w:noWrap w:val="0"/>
            <w:vAlign w:val="top"/>
          </w:tcPr>
          <w:p w14:paraId="074EB60F">
            <w:pPr>
              <w:shd w:val="clear" w:color="auto" w:fill="auto"/>
              <w:spacing w:line="360" w:lineRule="auto"/>
              <w:jc w:val="center"/>
              <w:textAlignment w:val="baseline"/>
              <w:rPr>
                <w:rFonts w:hint="eastAsia" w:ascii="仿宋" w:hAnsi="仿宋" w:eastAsia="仿宋" w:cs="仿宋"/>
                <w:color w:val="000000"/>
                <w:sz w:val="24"/>
                <w:highlight w:val="none"/>
              </w:rPr>
            </w:pPr>
          </w:p>
        </w:tc>
      </w:tr>
      <w:tr w14:paraId="31FE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3" w:type="dxa"/>
            <w:noWrap w:val="0"/>
            <w:vAlign w:val="top"/>
          </w:tcPr>
          <w:p w14:paraId="02EB68A6">
            <w:pPr>
              <w:shd w:val="clear" w:color="auto" w:fill="auto"/>
              <w:spacing w:line="360" w:lineRule="auto"/>
              <w:jc w:val="center"/>
              <w:textAlignment w:val="baseline"/>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联系电话</w:t>
            </w:r>
          </w:p>
        </w:tc>
        <w:tc>
          <w:tcPr>
            <w:tcW w:w="7992" w:type="dxa"/>
            <w:gridSpan w:val="11"/>
            <w:noWrap w:val="0"/>
            <w:vAlign w:val="top"/>
          </w:tcPr>
          <w:p w14:paraId="1C2B5B88">
            <w:pPr>
              <w:shd w:val="clear" w:color="auto" w:fill="auto"/>
              <w:spacing w:line="360" w:lineRule="auto"/>
              <w:jc w:val="center"/>
              <w:textAlignment w:val="baseline"/>
              <w:rPr>
                <w:rFonts w:hint="eastAsia" w:ascii="仿宋" w:hAnsi="仿宋" w:eastAsia="仿宋" w:cs="仿宋"/>
                <w:color w:val="000000"/>
                <w:sz w:val="24"/>
                <w:highlight w:val="none"/>
              </w:rPr>
            </w:pPr>
          </w:p>
        </w:tc>
      </w:tr>
      <w:tr w14:paraId="53F2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1453" w:type="dxa"/>
            <w:noWrap w:val="0"/>
            <w:vAlign w:val="center"/>
          </w:tcPr>
          <w:p w14:paraId="16B33409">
            <w:pPr>
              <w:shd w:val="clear" w:color="auto" w:fill="auto"/>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学习、工作</w:t>
            </w:r>
          </w:p>
          <w:p w14:paraId="5E7697F5">
            <w:pPr>
              <w:shd w:val="clear" w:color="auto" w:fill="auto"/>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经历</w:t>
            </w:r>
          </w:p>
        </w:tc>
        <w:tc>
          <w:tcPr>
            <w:tcW w:w="7992" w:type="dxa"/>
            <w:gridSpan w:val="11"/>
            <w:noWrap w:val="0"/>
            <w:vAlign w:val="top"/>
          </w:tcPr>
          <w:p w14:paraId="36A57283">
            <w:pPr>
              <w:shd w:val="clear" w:color="auto" w:fill="auto"/>
              <w:spacing w:line="500" w:lineRule="exact"/>
              <w:jc w:val="left"/>
              <w:rPr>
                <w:rFonts w:hint="eastAsia" w:ascii="仿宋" w:hAnsi="仿宋" w:eastAsia="仿宋" w:cs="仿宋"/>
                <w:color w:val="000000"/>
                <w:sz w:val="24"/>
                <w:highlight w:val="none"/>
              </w:rPr>
            </w:pPr>
          </w:p>
        </w:tc>
      </w:tr>
      <w:tr w14:paraId="6603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53" w:type="dxa"/>
            <w:vMerge w:val="restart"/>
            <w:noWrap w:val="0"/>
            <w:vAlign w:val="center"/>
          </w:tcPr>
          <w:p w14:paraId="29244EF1">
            <w:pPr>
              <w:shd w:val="clear" w:color="auto" w:fill="auto"/>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家庭主要</w:t>
            </w:r>
          </w:p>
          <w:p w14:paraId="17F063E3">
            <w:pPr>
              <w:shd w:val="clear" w:color="auto" w:fill="auto"/>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成员及联系</w:t>
            </w:r>
          </w:p>
          <w:p w14:paraId="251EFEF4">
            <w:pPr>
              <w:shd w:val="clear" w:color="auto" w:fill="auto"/>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方式</w:t>
            </w:r>
          </w:p>
        </w:tc>
        <w:tc>
          <w:tcPr>
            <w:tcW w:w="995" w:type="dxa"/>
            <w:noWrap w:val="0"/>
            <w:vAlign w:val="top"/>
          </w:tcPr>
          <w:p w14:paraId="0BFCD087">
            <w:pPr>
              <w:shd w:val="clear" w:color="auto" w:fill="auto"/>
              <w:spacing w:line="50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关系</w:t>
            </w:r>
          </w:p>
        </w:tc>
        <w:tc>
          <w:tcPr>
            <w:tcW w:w="1260" w:type="dxa"/>
            <w:gridSpan w:val="2"/>
            <w:noWrap w:val="0"/>
            <w:vAlign w:val="top"/>
          </w:tcPr>
          <w:p w14:paraId="5A95EBAB">
            <w:pPr>
              <w:shd w:val="clear" w:color="auto" w:fill="auto"/>
              <w:spacing w:line="50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姓名</w:t>
            </w:r>
          </w:p>
        </w:tc>
        <w:tc>
          <w:tcPr>
            <w:tcW w:w="3240" w:type="dxa"/>
            <w:gridSpan w:val="5"/>
            <w:noWrap w:val="0"/>
            <w:vAlign w:val="top"/>
          </w:tcPr>
          <w:p w14:paraId="034696BA">
            <w:pPr>
              <w:shd w:val="clear" w:color="auto" w:fill="auto"/>
              <w:spacing w:line="50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工作单位</w:t>
            </w:r>
          </w:p>
        </w:tc>
        <w:tc>
          <w:tcPr>
            <w:tcW w:w="2497" w:type="dxa"/>
            <w:gridSpan w:val="3"/>
            <w:noWrap w:val="0"/>
            <w:vAlign w:val="top"/>
          </w:tcPr>
          <w:p w14:paraId="2D05CC9A">
            <w:pPr>
              <w:shd w:val="clear" w:color="auto" w:fill="auto"/>
              <w:spacing w:line="500" w:lineRule="exact"/>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联系方式</w:t>
            </w:r>
          </w:p>
        </w:tc>
      </w:tr>
      <w:tr w14:paraId="3662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53" w:type="dxa"/>
            <w:vMerge w:val="continue"/>
            <w:noWrap w:val="0"/>
            <w:vAlign w:val="center"/>
          </w:tcPr>
          <w:p w14:paraId="560C3735">
            <w:pPr>
              <w:shd w:val="clear" w:color="auto" w:fill="auto"/>
              <w:spacing w:line="360" w:lineRule="auto"/>
              <w:jc w:val="center"/>
              <w:rPr>
                <w:rFonts w:hint="eastAsia" w:ascii="仿宋" w:hAnsi="仿宋" w:eastAsia="仿宋" w:cs="仿宋"/>
                <w:color w:val="000000"/>
                <w:sz w:val="24"/>
                <w:highlight w:val="none"/>
              </w:rPr>
            </w:pPr>
          </w:p>
        </w:tc>
        <w:tc>
          <w:tcPr>
            <w:tcW w:w="995" w:type="dxa"/>
            <w:noWrap w:val="0"/>
            <w:vAlign w:val="top"/>
          </w:tcPr>
          <w:p w14:paraId="210B7637">
            <w:pPr>
              <w:shd w:val="clear" w:color="auto" w:fill="auto"/>
              <w:spacing w:line="500" w:lineRule="exact"/>
              <w:jc w:val="left"/>
              <w:rPr>
                <w:rFonts w:hint="eastAsia" w:ascii="仿宋" w:hAnsi="仿宋" w:eastAsia="仿宋" w:cs="仿宋"/>
                <w:color w:val="000000"/>
                <w:sz w:val="24"/>
                <w:highlight w:val="none"/>
              </w:rPr>
            </w:pPr>
          </w:p>
        </w:tc>
        <w:tc>
          <w:tcPr>
            <w:tcW w:w="1260" w:type="dxa"/>
            <w:gridSpan w:val="2"/>
            <w:noWrap w:val="0"/>
            <w:vAlign w:val="top"/>
          </w:tcPr>
          <w:p w14:paraId="60364CE7">
            <w:pPr>
              <w:shd w:val="clear" w:color="auto" w:fill="auto"/>
              <w:spacing w:line="500" w:lineRule="exact"/>
              <w:jc w:val="left"/>
              <w:rPr>
                <w:rFonts w:hint="eastAsia" w:ascii="仿宋" w:hAnsi="仿宋" w:eastAsia="仿宋" w:cs="仿宋"/>
                <w:color w:val="000000"/>
                <w:sz w:val="24"/>
                <w:highlight w:val="none"/>
              </w:rPr>
            </w:pPr>
          </w:p>
        </w:tc>
        <w:tc>
          <w:tcPr>
            <w:tcW w:w="3240" w:type="dxa"/>
            <w:gridSpan w:val="5"/>
            <w:noWrap w:val="0"/>
            <w:vAlign w:val="top"/>
          </w:tcPr>
          <w:p w14:paraId="728806B7">
            <w:pPr>
              <w:shd w:val="clear" w:color="auto" w:fill="auto"/>
              <w:spacing w:line="500" w:lineRule="exact"/>
              <w:jc w:val="left"/>
              <w:rPr>
                <w:rFonts w:hint="eastAsia" w:ascii="仿宋" w:hAnsi="仿宋" w:eastAsia="仿宋" w:cs="仿宋"/>
                <w:color w:val="000000"/>
                <w:sz w:val="24"/>
                <w:highlight w:val="none"/>
              </w:rPr>
            </w:pPr>
          </w:p>
        </w:tc>
        <w:tc>
          <w:tcPr>
            <w:tcW w:w="2497" w:type="dxa"/>
            <w:gridSpan w:val="3"/>
            <w:noWrap w:val="0"/>
            <w:vAlign w:val="top"/>
          </w:tcPr>
          <w:p w14:paraId="4636D38A">
            <w:pPr>
              <w:shd w:val="clear" w:color="auto" w:fill="auto"/>
              <w:spacing w:line="500" w:lineRule="exact"/>
              <w:jc w:val="left"/>
              <w:rPr>
                <w:rFonts w:hint="eastAsia" w:ascii="仿宋" w:hAnsi="仿宋" w:eastAsia="仿宋" w:cs="仿宋"/>
                <w:color w:val="000000"/>
                <w:sz w:val="24"/>
                <w:highlight w:val="none"/>
              </w:rPr>
            </w:pPr>
          </w:p>
        </w:tc>
      </w:tr>
      <w:tr w14:paraId="2C63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53" w:type="dxa"/>
            <w:vMerge w:val="continue"/>
            <w:noWrap w:val="0"/>
            <w:vAlign w:val="center"/>
          </w:tcPr>
          <w:p w14:paraId="323E871F">
            <w:pPr>
              <w:shd w:val="clear" w:color="auto" w:fill="auto"/>
              <w:spacing w:line="360" w:lineRule="auto"/>
              <w:jc w:val="center"/>
              <w:rPr>
                <w:rFonts w:hint="eastAsia" w:ascii="仿宋" w:hAnsi="仿宋" w:eastAsia="仿宋" w:cs="仿宋"/>
                <w:color w:val="000000"/>
                <w:sz w:val="24"/>
                <w:highlight w:val="none"/>
              </w:rPr>
            </w:pPr>
          </w:p>
        </w:tc>
        <w:tc>
          <w:tcPr>
            <w:tcW w:w="995" w:type="dxa"/>
            <w:noWrap w:val="0"/>
            <w:vAlign w:val="top"/>
          </w:tcPr>
          <w:p w14:paraId="39A67E48">
            <w:pPr>
              <w:shd w:val="clear" w:color="auto" w:fill="auto"/>
              <w:spacing w:line="500" w:lineRule="exact"/>
              <w:jc w:val="left"/>
              <w:rPr>
                <w:rFonts w:hint="eastAsia" w:ascii="仿宋" w:hAnsi="仿宋" w:eastAsia="仿宋" w:cs="仿宋"/>
                <w:color w:val="000000"/>
                <w:sz w:val="24"/>
                <w:highlight w:val="none"/>
              </w:rPr>
            </w:pPr>
          </w:p>
        </w:tc>
        <w:tc>
          <w:tcPr>
            <w:tcW w:w="1260" w:type="dxa"/>
            <w:gridSpan w:val="2"/>
            <w:noWrap w:val="0"/>
            <w:vAlign w:val="top"/>
          </w:tcPr>
          <w:p w14:paraId="461B8A28">
            <w:pPr>
              <w:shd w:val="clear" w:color="auto" w:fill="auto"/>
              <w:spacing w:line="500" w:lineRule="exact"/>
              <w:jc w:val="left"/>
              <w:rPr>
                <w:rFonts w:hint="eastAsia" w:ascii="仿宋" w:hAnsi="仿宋" w:eastAsia="仿宋" w:cs="仿宋"/>
                <w:color w:val="000000"/>
                <w:sz w:val="24"/>
                <w:highlight w:val="none"/>
              </w:rPr>
            </w:pPr>
          </w:p>
        </w:tc>
        <w:tc>
          <w:tcPr>
            <w:tcW w:w="3240" w:type="dxa"/>
            <w:gridSpan w:val="5"/>
            <w:noWrap w:val="0"/>
            <w:vAlign w:val="top"/>
          </w:tcPr>
          <w:p w14:paraId="054DEE6A">
            <w:pPr>
              <w:shd w:val="clear" w:color="auto" w:fill="auto"/>
              <w:spacing w:line="500" w:lineRule="exact"/>
              <w:jc w:val="left"/>
              <w:rPr>
                <w:rFonts w:hint="eastAsia" w:ascii="仿宋" w:hAnsi="仿宋" w:eastAsia="仿宋" w:cs="仿宋"/>
                <w:color w:val="000000"/>
                <w:sz w:val="24"/>
                <w:highlight w:val="none"/>
              </w:rPr>
            </w:pPr>
          </w:p>
        </w:tc>
        <w:tc>
          <w:tcPr>
            <w:tcW w:w="2497" w:type="dxa"/>
            <w:gridSpan w:val="3"/>
            <w:noWrap w:val="0"/>
            <w:vAlign w:val="top"/>
          </w:tcPr>
          <w:p w14:paraId="123CC6E3">
            <w:pPr>
              <w:shd w:val="clear" w:color="auto" w:fill="auto"/>
              <w:spacing w:line="500" w:lineRule="exact"/>
              <w:jc w:val="left"/>
              <w:rPr>
                <w:rFonts w:hint="eastAsia" w:ascii="仿宋" w:hAnsi="仿宋" w:eastAsia="仿宋" w:cs="仿宋"/>
                <w:color w:val="000000"/>
                <w:sz w:val="24"/>
                <w:highlight w:val="none"/>
              </w:rPr>
            </w:pPr>
          </w:p>
        </w:tc>
      </w:tr>
      <w:tr w14:paraId="47E9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53" w:type="dxa"/>
            <w:vMerge w:val="continue"/>
            <w:noWrap w:val="0"/>
            <w:vAlign w:val="center"/>
          </w:tcPr>
          <w:p w14:paraId="4A058952">
            <w:pPr>
              <w:shd w:val="clear" w:color="auto" w:fill="auto"/>
              <w:spacing w:line="360" w:lineRule="auto"/>
              <w:jc w:val="center"/>
              <w:rPr>
                <w:rFonts w:hint="eastAsia" w:ascii="仿宋" w:hAnsi="仿宋" w:eastAsia="仿宋" w:cs="仿宋"/>
                <w:color w:val="000000"/>
                <w:sz w:val="24"/>
                <w:highlight w:val="none"/>
              </w:rPr>
            </w:pPr>
          </w:p>
        </w:tc>
        <w:tc>
          <w:tcPr>
            <w:tcW w:w="995" w:type="dxa"/>
            <w:noWrap w:val="0"/>
            <w:vAlign w:val="top"/>
          </w:tcPr>
          <w:p w14:paraId="5665109A">
            <w:pPr>
              <w:shd w:val="clear" w:color="auto" w:fill="auto"/>
              <w:spacing w:line="500" w:lineRule="exact"/>
              <w:jc w:val="left"/>
              <w:rPr>
                <w:rFonts w:hint="eastAsia" w:ascii="仿宋" w:hAnsi="仿宋" w:eastAsia="仿宋" w:cs="仿宋"/>
                <w:color w:val="000000"/>
                <w:sz w:val="24"/>
                <w:highlight w:val="none"/>
              </w:rPr>
            </w:pPr>
          </w:p>
        </w:tc>
        <w:tc>
          <w:tcPr>
            <w:tcW w:w="1260" w:type="dxa"/>
            <w:gridSpan w:val="2"/>
            <w:noWrap w:val="0"/>
            <w:vAlign w:val="top"/>
          </w:tcPr>
          <w:p w14:paraId="3F750CC7">
            <w:pPr>
              <w:shd w:val="clear" w:color="auto" w:fill="auto"/>
              <w:spacing w:line="500" w:lineRule="exact"/>
              <w:jc w:val="left"/>
              <w:rPr>
                <w:rFonts w:hint="eastAsia" w:ascii="仿宋" w:hAnsi="仿宋" w:eastAsia="仿宋" w:cs="仿宋"/>
                <w:color w:val="000000"/>
                <w:sz w:val="24"/>
                <w:highlight w:val="none"/>
              </w:rPr>
            </w:pPr>
          </w:p>
        </w:tc>
        <w:tc>
          <w:tcPr>
            <w:tcW w:w="3240" w:type="dxa"/>
            <w:gridSpan w:val="5"/>
            <w:noWrap w:val="0"/>
            <w:vAlign w:val="top"/>
          </w:tcPr>
          <w:p w14:paraId="2A68323C">
            <w:pPr>
              <w:shd w:val="clear" w:color="auto" w:fill="auto"/>
              <w:spacing w:line="500" w:lineRule="exact"/>
              <w:jc w:val="left"/>
              <w:rPr>
                <w:rFonts w:hint="eastAsia" w:ascii="仿宋" w:hAnsi="仿宋" w:eastAsia="仿宋" w:cs="仿宋"/>
                <w:color w:val="000000"/>
                <w:sz w:val="24"/>
                <w:highlight w:val="none"/>
              </w:rPr>
            </w:pPr>
          </w:p>
        </w:tc>
        <w:tc>
          <w:tcPr>
            <w:tcW w:w="2497" w:type="dxa"/>
            <w:gridSpan w:val="3"/>
            <w:noWrap w:val="0"/>
            <w:vAlign w:val="top"/>
          </w:tcPr>
          <w:p w14:paraId="1A3B7064">
            <w:pPr>
              <w:shd w:val="clear" w:color="auto" w:fill="auto"/>
              <w:spacing w:line="500" w:lineRule="exact"/>
              <w:jc w:val="left"/>
              <w:rPr>
                <w:rFonts w:hint="eastAsia" w:ascii="仿宋" w:hAnsi="仿宋" w:eastAsia="仿宋" w:cs="仿宋"/>
                <w:color w:val="000000"/>
                <w:sz w:val="24"/>
                <w:highlight w:val="none"/>
              </w:rPr>
            </w:pPr>
          </w:p>
        </w:tc>
      </w:tr>
      <w:tr w14:paraId="43FA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53" w:type="dxa"/>
            <w:vMerge w:val="continue"/>
            <w:noWrap w:val="0"/>
            <w:vAlign w:val="center"/>
          </w:tcPr>
          <w:p w14:paraId="617C5A56">
            <w:pPr>
              <w:shd w:val="clear" w:color="auto" w:fill="auto"/>
              <w:spacing w:line="360" w:lineRule="auto"/>
              <w:jc w:val="center"/>
              <w:rPr>
                <w:rFonts w:hint="eastAsia" w:ascii="仿宋" w:hAnsi="仿宋" w:eastAsia="仿宋" w:cs="仿宋"/>
                <w:color w:val="000000"/>
                <w:sz w:val="24"/>
                <w:highlight w:val="none"/>
              </w:rPr>
            </w:pPr>
          </w:p>
        </w:tc>
        <w:tc>
          <w:tcPr>
            <w:tcW w:w="995" w:type="dxa"/>
            <w:noWrap w:val="0"/>
            <w:vAlign w:val="top"/>
          </w:tcPr>
          <w:p w14:paraId="1DCCE1DD">
            <w:pPr>
              <w:shd w:val="clear" w:color="auto" w:fill="auto"/>
              <w:spacing w:line="500" w:lineRule="exact"/>
              <w:jc w:val="left"/>
              <w:rPr>
                <w:rFonts w:hint="eastAsia" w:ascii="仿宋" w:hAnsi="仿宋" w:eastAsia="仿宋" w:cs="仿宋"/>
                <w:color w:val="000000"/>
                <w:sz w:val="24"/>
                <w:highlight w:val="none"/>
              </w:rPr>
            </w:pPr>
          </w:p>
        </w:tc>
        <w:tc>
          <w:tcPr>
            <w:tcW w:w="1260" w:type="dxa"/>
            <w:gridSpan w:val="2"/>
            <w:noWrap w:val="0"/>
            <w:vAlign w:val="top"/>
          </w:tcPr>
          <w:p w14:paraId="675323EB">
            <w:pPr>
              <w:shd w:val="clear" w:color="auto" w:fill="auto"/>
              <w:spacing w:line="500" w:lineRule="exact"/>
              <w:jc w:val="left"/>
              <w:rPr>
                <w:rFonts w:hint="eastAsia" w:ascii="仿宋" w:hAnsi="仿宋" w:eastAsia="仿宋" w:cs="仿宋"/>
                <w:color w:val="000000"/>
                <w:sz w:val="24"/>
                <w:highlight w:val="none"/>
              </w:rPr>
            </w:pPr>
          </w:p>
        </w:tc>
        <w:tc>
          <w:tcPr>
            <w:tcW w:w="3240" w:type="dxa"/>
            <w:gridSpan w:val="5"/>
            <w:noWrap w:val="0"/>
            <w:vAlign w:val="top"/>
          </w:tcPr>
          <w:p w14:paraId="418CC86C">
            <w:pPr>
              <w:shd w:val="clear" w:color="auto" w:fill="auto"/>
              <w:spacing w:line="500" w:lineRule="exact"/>
              <w:jc w:val="left"/>
              <w:rPr>
                <w:rFonts w:hint="eastAsia" w:ascii="仿宋" w:hAnsi="仿宋" w:eastAsia="仿宋" w:cs="仿宋"/>
                <w:color w:val="000000"/>
                <w:sz w:val="24"/>
                <w:highlight w:val="none"/>
              </w:rPr>
            </w:pPr>
          </w:p>
        </w:tc>
        <w:tc>
          <w:tcPr>
            <w:tcW w:w="2497" w:type="dxa"/>
            <w:gridSpan w:val="3"/>
            <w:noWrap w:val="0"/>
            <w:vAlign w:val="top"/>
          </w:tcPr>
          <w:p w14:paraId="14736AB5">
            <w:pPr>
              <w:shd w:val="clear" w:color="auto" w:fill="auto"/>
              <w:spacing w:line="500" w:lineRule="exact"/>
              <w:jc w:val="left"/>
              <w:rPr>
                <w:rFonts w:hint="eastAsia" w:ascii="仿宋" w:hAnsi="仿宋" w:eastAsia="仿宋" w:cs="仿宋"/>
                <w:color w:val="000000"/>
                <w:sz w:val="24"/>
                <w:highlight w:val="none"/>
              </w:rPr>
            </w:pPr>
          </w:p>
        </w:tc>
      </w:tr>
      <w:tr w14:paraId="5DC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53" w:type="dxa"/>
            <w:noWrap w:val="0"/>
            <w:vAlign w:val="center"/>
          </w:tcPr>
          <w:p w14:paraId="560C7AC8">
            <w:pPr>
              <w:shd w:val="clear" w:color="auto" w:fill="auto"/>
              <w:spacing w:line="36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个人专长</w:t>
            </w:r>
          </w:p>
        </w:tc>
        <w:tc>
          <w:tcPr>
            <w:tcW w:w="7992" w:type="dxa"/>
            <w:gridSpan w:val="11"/>
            <w:noWrap w:val="0"/>
            <w:vAlign w:val="top"/>
          </w:tcPr>
          <w:p w14:paraId="6E629552">
            <w:pPr>
              <w:shd w:val="clear" w:color="auto" w:fill="auto"/>
              <w:spacing w:line="360" w:lineRule="auto"/>
              <w:jc w:val="center"/>
              <w:rPr>
                <w:rFonts w:hint="eastAsia" w:ascii="仿宋" w:hAnsi="仿宋" w:eastAsia="仿宋" w:cs="仿宋"/>
                <w:color w:val="000000"/>
                <w:sz w:val="24"/>
                <w:highlight w:val="none"/>
              </w:rPr>
            </w:pPr>
          </w:p>
        </w:tc>
      </w:tr>
      <w:tr w14:paraId="65E5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9445" w:type="dxa"/>
            <w:gridSpan w:val="12"/>
            <w:noWrap w:val="0"/>
            <w:vAlign w:val="center"/>
          </w:tcPr>
          <w:p w14:paraId="02273101">
            <w:pPr>
              <w:shd w:val="clear" w:color="auto" w:fill="auto"/>
              <w:spacing w:line="360" w:lineRule="auto"/>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本人郑重承诺，所提供的材料及个人信息真实、有效，无弄虚作假。愿意承担因资料造假所造成的一切后果。</w:t>
            </w:r>
          </w:p>
          <w:p w14:paraId="750714FC">
            <w:pPr>
              <w:shd w:val="clear" w:color="auto" w:fill="auto"/>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签名：</w:t>
            </w:r>
          </w:p>
          <w:p w14:paraId="061A28AC">
            <w:pPr>
              <w:shd w:val="clear" w:color="auto" w:fill="auto"/>
              <w:spacing w:line="360" w:lineRule="auto"/>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日期：</w:t>
            </w:r>
          </w:p>
        </w:tc>
      </w:tr>
    </w:tbl>
    <w:p w14:paraId="127C2EB5">
      <w:pPr>
        <w:shd w:val="clear" w:color="auto" w:fill="auto"/>
        <w:spacing w:line="360" w:lineRule="auto"/>
        <w:jc w:val="left"/>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lang w:val="en-US" w:eastAsia="zh-CN"/>
        </w:rPr>
        <w:t>二、</w:t>
      </w:r>
      <w:r>
        <w:rPr>
          <w:rFonts w:hint="eastAsia" w:ascii="仿宋" w:hAnsi="仿宋" w:eastAsia="仿宋" w:cs="仿宋"/>
          <w:b/>
          <w:color w:val="000000"/>
          <w:sz w:val="32"/>
          <w:szCs w:val="32"/>
          <w:highlight w:val="none"/>
          <w:lang w:eastAsia="zh-CN"/>
        </w:rPr>
        <w:t>青海省青海湖生态保护基金会</w:t>
      </w:r>
      <w:r>
        <w:rPr>
          <w:rFonts w:hint="eastAsia" w:ascii="仿宋" w:hAnsi="仿宋" w:eastAsia="仿宋" w:cs="仿宋"/>
          <w:b/>
          <w:color w:val="000000"/>
          <w:sz w:val="32"/>
          <w:szCs w:val="32"/>
          <w:highlight w:val="none"/>
        </w:rPr>
        <w:t>实习协议书</w:t>
      </w:r>
    </w:p>
    <w:p w14:paraId="32B65FB2">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青海省青海湖生态保护基金会</w:t>
      </w:r>
      <w:r>
        <w:rPr>
          <w:rFonts w:hint="eastAsia" w:ascii="仿宋" w:hAnsi="仿宋" w:eastAsia="仿宋" w:cs="仿宋"/>
          <w:color w:val="000000"/>
          <w:sz w:val="24"/>
          <w:szCs w:val="24"/>
          <w:highlight w:val="none"/>
        </w:rPr>
        <w:t xml:space="preserve"> </w:t>
      </w:r>
    </w:p>
    <w:p w14:paraId="18C925D2">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                       身份证号码：</w:t>
      </w:r>
    </w:p>
    <w:p w14:paraId="7AF519C7">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                       联系电话：</w:t>
      </w:r>
    </w:p>
    <w:p w14:paraId="30CEA1C5">
      <w:pPr>
        <w:shd w:val="clear" w:color="auto" w:fill="auto"/>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为推动高校社工毕业生在</w:t>
      </w:r>
      <w:r>
        <w:rPr>
          <w:rFonts w:hint="eastAsia" w:ascii="仿宋" w:hAnsi="仿宋" w:eastAsia="仿宋" w:cs="仿宋"/>
          <w:color w:val="000000"/>
          <w:sz w:val="24"/>
          <w:szCs w:val="24"/>
          <w:highlight w:val="none"/>
          <w:lang w:val="en-US" w:eastAsia="zh-CN"/>
        </w:rPr>
        <w:t>社会组织</w:t>
      </w:r>
      <w:r>
        <w:rPr>
          <w:rFonts w:hint="eastAsia" w:ascii="仿宋" w:hAnsi="仿宋" w:eastAsia="仿宋" w:cs="仿宋"/>
          <w:color w:val="000000"/>
          <w:sz w:val="24"/>
          <w:szCs w:val="24"/>
          <w:highlight w:val="none"/>
        </w:rPr>
        <w:t xml:space="preserve">的实习和就业，推动社工专业化和职业化的发展，保证服务机构的使命和目标的完成和实现；为明确实习学生与实习单位的责任与义务,根据国家有关法律、法规，本着平等自愿的原则，经甲乙双方协商一致，签订本协议。 </w:t>
      </w:r>
    </w:p>
    <w:p w14:paraId="7AD2FC64">
      <w:pPr>
        <w:numPr>
          <w:ilvl w:val="0"/>
          <w:numId w:val="2"/>
        </w:numPr>
        <w:shd w:val="clear" w:color="auto" w:fill="auto"/>
        <w:spacing w:line="360" w:lineRule="auto"/>
        <w:rPr>
          <w:rFonts w:hint="eastAsia" w:ascii="仿宋" w:hAnsi="仿宋" w:eastAsia="仿宋" w:cs="仿宋"/>
          <w:b/>
          <w:bCs/>
          <w:color w:val="000000"/>
          <w:sz w:val="24"/>
          <w:szCs w:val="24"/>
          <w:highlight w:val="none"/>
          <w:u w:val="single"/>
        </w:rPr>
      </w:pPr>
      <w:r>
        <w:rPr>
          <w:rFonts w:hint="eastAsia" w:ascii="仿宋" w:hAnsi="仿宋" w:eastAsia="仿宋" w:cs="仿宋"/>
          <w:b/>
          <w:bCs/>
          <w:color w:val="000000"/>
          <w:sz w:val="24"/>
          <w:szCs w:val="24"/>
          <w:highlight w:val="none"/>
        </w:rPr>
        <w:t>乙方在甲方的实习岗位</w:t>
      </w:r>
      <w:r>
        <w:rPr>
          <w:rFonts w:hint="eastAsia" w:ascii="仿宋" w:hAnsi="仿宋" w:eastAsia="仿宋" w:cs="仿宋"/>
          <w:b/>
          <w:bCs/>
          <w:color w:val="000000"/>
          <w:sz w:val="24"/>
          <w:szCs w:val="24"/>
          <w:highlight w:val="none"/>
          <w:u w:val="single"/>
        </w:rPr>
        <w:t xml:space="preserve">                                  </w:t>
      </w:r>
    </w:p>
    <w:p w14:paraId="4EED89B3">
      <w:pPr>
        <w:shd w:val="clear" w:color="auto" w:fill="auto"/>
        <w:spacing w:line="360" w:lineRule="auto"/>
        <w:rPr>
          <w:rFonts w:hint="eastAsia" w:ascii="仿宋" w:hAnsi="仿宋" w:eastAsia="仿宋" w:cs="仿宋"/>
          <w:color w:val="000000"/>
          <w:sz w:val="24"/>
          <w:szCs w:val="24"/>
          <w:highlight w:val="none"/>
          <w:u w:val="single"/>
        </w:rPr>
      </w:pPr>
      <w:r>
        <w:rPr>
          <w:rFonts w:hint="eastAsia" w:ascii="仿宋" w:hAnsi="仿宋" w:eastAsia="仿宋" w:cs="仿宋"/>
          <w:b/>
          <w:bCs/>
          <w:color w:val="000000"/>
          <w:sz w:val="24"/>
          <w:szCs w:val="24"/>
          <w:highlight w:val="none"/>
        </w:rPr>
        <w:t xml:space="preserve">    乙方实习期为从</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b/>
          <w:bCs/>
          <w:color w:val="000000"/>
          <w:sz w:val="24"/>
          <w:szCs w:val="24"/>
          <w:highlight w:val="none"/>
        </w:rPr>
        <w:t>年</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b/>
          <w:bCs/>
          <w:color w:val="000000"/>
          <w:sz w:val="24"/>
          <w:szCs w:val="24"/>
          <w:highlight w:val="none"/>
        </w:rPr>
        <w:t>月</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b/>
          <w:bCs/>
          <w:color w:val="000000"/>
          <w:sz w:val="24"/>
          <w:szCs w:val="24"/>
          <w:highlight w:val="none"/>
        </w:rPr>
        <w:t>日至</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b/>
          <w:bCs/>
          <w:color w:val="000000"/>
          <w:sz w:val="24"/>
          <w:szCs w:val="24"/>
          <w:highlight w:val="none"/>
        </w:rPr>
        <w:t>年</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b/>
          <w:bCs/>
          <w:color w:val="000000"/>
          <w:sz w:val="24"/>
          <w:szCs w:val="24"/>
          <w:highlight w:val="none"/>
        </w:rPr>
        <w:t>月</w:t>
      </w:r>
      <w:r>
        <w:rPr>
          <w:rFonts w:hint="eastAsia" w:ascii="仿宋" w:hAnsi="仿宋" w:eastAsia="仿宋" w:cs="仿宋"/>
          <w:b/>
          <w:bCs/>
          <w:color w:val="000000"/>
          <w:sz w:val="24"/>
          <w:szCs w:val="24"/>
          <w:highlight w:val="none"/>
          <w:u w:val="single"/>
        </w:rPr>
        <w:t xml:space="preserve">    </w:t>
      </w:r>
      <w:r>
        <w:rPr>
          <w:rFonts w:hint="eastAsia" w:ascii="仿宋" w:hAnsi="仿宋" w:eastAsia="仿宋" w:cs="仿宋"/>
          <w:b/>
          <w:bCs/>
          <w:color w:val="000000"/>
          <w:sz w:val="24"/>
          <w:szCs w:val="24"/>
          <w:highlight w:val="none"/>
        </w:rPr>
        <w:t>日。</w:t>
      </w:r>
    </w:p>
    <w:p w14:paraId="1F7B8752">
      <w:pPr>
        <w:shd w:val="clear" w:color="auto" w:fill="auto"/>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二、甲方权责</w:t>
      </w:r>
    </w:p>
    <w:p w14:paraId="447E71CF">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实习期间表现优秀者，</w:t>
      </w:r>
      <w:r>
        <w:rPr>
          <w:rFonts w:hint="eastAsia" w:ascii="仿宋" w:hAnsi="仿宋" w:eastAsia="仿宋" w:cs="仿宋"/>
          <w:color w:val="000000"/>
          <w:sz w:val="24"/>
          <w:szCs w:val="24"/>
          <w:highlight w:val="none"/>
        </w:rPr>
        <w:t>甲方负责提供实习生在实习期间工作日的补助，标准为：</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u w:val="single"/>
          <w:lang w:val="en-US" w:eastAsia="zh-CN"/>
        </w:rPr>
        <w:t>30-50</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元/天。</w:t>
      </w:r>
    </w:p>
    <w:p w14:paraId="28CB1FE1">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2.尽力协助实习生确定与专业相关以及和个人期望、机构需要相符合的实习内容，明确实习目标并在实习过程中给予力所能及的支持。</w:t>
      </w:r>
    </w:p>
    <w:p w14:paraId="3D95D774">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3.实习过程中安排协调员及指定的责任督导共同完成督导工作。</w:t>
      </w:r>
    </w:p>
    <w:p w14:paraId="76DDC126">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4.责任督导须保证为实习生安排每周进行一次面对面的督导会。</w:t>
      </w:r>
    </w:p>
    <w:p w14:paraId="35027F7A">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5.责任督导有责任督促实习生完成相关实习文件，并给予书面批复。</w:t>
      </w:r>
    </w:p>
    <w:p w14:paraId="24ABD6D7">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6.实习结束前责任督导须完成实习生评估工作，并将实习过程中实习生的周记、总结、计划书、督导记录等文件交回给协调员备存。</w:t>
      </w:r>
    </w:p>
    <w:p w14:paraId="1CB78B9A">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督导要保证在实习开始和结束时对所有实习生进行导向式培训和实习总结。可以综合实习生的工作完成情况及个人态度、员工评价等因素来决定是否给予实习合格的评价，不合格实习生将不予盖章或满足其他学校要求机构配合的程序。</w:t>
      </w:r>
    </w:p>
    <w:p w14:paraId="5A17E293">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8.对于实习态度不端正且经几次督导后仍无任何改变者机构有权劝退，并将劝退原因书面通知实习生所在院校相关负责人。</w:t>
      </w:r>
    </w:p>
    <w:p w14:paraId="1BBB8998">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9.对于优秀的实习论文/报告，机构会择机出版作为内部交流使用，署名为作者本人，但版权归机构所有。</w:t>
      </w:r>
    </w:p>
    <w:p w14:paraId="44C1D8D3">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10.机构规章制度、服务资料、个案案例等文件版权归</w:t>
      </w:r>
      <w:r>
        <w:rPr>
          <w:rFonts w:hint="eastAsia" w:ascii="仿宋" w:hAnsi="仿宋" w:eastAsia="仿宋" w:cs="仿宋"/>
          <w:color w:val="000000"/>
          <w:sz w:val="24"/>
          <w:szCs w:val="24"/>
          <w:highlight w:val="none"/>
          <w:lang w:eastAsia="zh-CN"/>
        </w:rPr>
        <w:t>青海省青海湖生态保护基金会</w:t>
      </w:r>
      <w:r>
        <w:rPr>
          <w:rFonts w:hint="eastAsia" w:ascii="仿宋" w:hAnsi="仿宋" w:eastAsia="仿宋" w:cs="仿宋"/>
          <w:color w:val="000000"/>
          <w:sz w:val="24"/>
          <w:szCs w:val="24"/>
          <w:highlight w:val="none"/>
        </w:rPr>
        <w:t>所有，实习人员不得带出机构或用于对外传播，否则机构有权追究相应责任。</w:t>
      </w:r>
    </w:p>
    <w:p w14:paraId="62FD601A">
      <w:pPr>
        <w:shd w:val="clear" w:color="auto" w:fill="auto"/>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三、乙方权利</w:t>
      </w:r>
    </w:p>
    <w:p w14:paraId="29DF5C74">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1.有权监督指定督导是否履行督导程序及规定行使的事项，并有权向其上级主管汇报情况。</w:t>
      </w:r>
    </w:p>
    <w:p w14:paraId="3732499E">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2.有权申请更换督导。</w:t>
      </w:r>
    </w:p>
    <w:p w14:paraId="2262CC73">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3.实习人员的工作时间为周一至周五，每天工作时间早8：30—17：30。</w:t>
      </w:r>
    </w:p>
    <w:p w14:paraId="077F5A35">
      <w:pPr>
        <w:shd w:val="clear" w:color="auto" w:fill="auto"/>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四、乙方义务</w:t>
      </w:r>
    </w:p>
    <w:p w14:paraId="220C240E">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1.遵守机构的规章制度，保证按时间到达服务点，在机构的实习时间应与机构安排保持同步。</w:t>
      </w:r>
    </w:p>
    <w:p w14:paraId="6C5E2E7F">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2.态度端正，保证按签订的时间履行实习工作内容。</w:t>
      </w:r>
    </w:p>
    <w:p w14:paraId="6A9AF09B">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3.如无特殊事项，实习生应保证实习期间的全勤出席，当月请假超过2天的建议终止实习。（严重病假除外）</w:t>
      </w:r>
    </w:p>
    <w:p w14:paraId="15F1203E">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4.不私下议论机构相关制度或突发事件，不传播小道消息。</w:t>
      </w:r>
    </w:p>
    <w:p w14:paraId="06359D64">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5.除特别授权，不得代表机构、代表工作人员向服务对象、社区传递涉及机构立场的相关信息，注意维护机构形象。</w:t>
      </w:r>
    </w:p>
    <w:p w14:paraId="349EB028">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6.实习生须按机构要求完成报名表、周记、计划书、实习报告等文件，否则机构不予盖章及鉴定。</w:t>
      </w:r>
    </w:p>
    <w:p w14:paraId="0656292E">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7.实习论文/报告如果在学术刊物或其他媒体刊登，刊登前须经机构审核通过。</w:t>
      </w:r>
    </w:p>
    <w:p w14:paraId="4A7122DA">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8.实习过程中及时主动地向督导反映所发现的新问题并可提出建设性意见与建议。</w:t>
      </w:r>
    </w:p>
    <w:p w14:paraId="71DDE4C0">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9.实习生有义务如实向高校教师反映实习情况和存在问题，同时将专业督导教师的意见与建议回馈机构。</w:t>
      </w:r>
    </w:p>
    <w:p w14:paraId="41585011">
      <w:pPr>
        <w:shd w:val="clear" w:color="auto" w:fill="auto"/>
        <w:spacing w:line="360" w:lineRule="auto"/>
        <w:rPr>
          <w:rFonts w:hint="eastAsia" w:ascii="仿宋" w:hAnsi="仿宋" w:eastAsia="仿宋" w:cs="仿宋"/>
          <w:b/>
          <w:color w:val="000000"/>
          <w:sz w:val="24"/>
          <w:szCs w:val="24"/>
          <w:highlight w:val="none"/>
        </w:rPr>
      </w:pPr>
      <w:r>
        <w:rPr>
          <w:rFonts w:hint="eastAsia" w:ascii="仿宋" w:hAnsi="仿宋" w:eastAsia="仿宋" w:cs="仿宋"/>
          <w:b/>
          <w:bCs/>
          <w:color w:val="000000"/>
          <w:sz w:val="24"/>
          <w:szCs w:val="24"/>
          <w:highlight w:val="none"/>
        </w:rPr>
        <w:t>五、其他事项</w:t>
      </w:r>
      <w:r>
        <w:rPr>
          <w:rFonts w:hint="eastAsia" w:ascii="仿宋" w:hAnsi="仿宋" w:eastAsia="仿宋" w:cs="仿宋"/>
          <w:b/>
          <w:color w:val="000000"/>
          <w:sz w:val="24"/>
          <w:szCs w:val="24"/>
          <w:highlight w:val="none"/>
        </w:rPr>
        <w:t xml:space="preserve">     </w:t>
      </w:r>
    </w:p>
    <w:p w14:paraId="3CA7260D">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1.本协议一式两份，自双方签字之日有效。    </w:t>
      </w:r>
    </w:p>
    <w:p w14:paraId="3E2959FB">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2.未尽事宜，双方应通过友好协商解决。</w:t>
      </w:r>
    </w:p>
    <w:p w14:paraId="6C75E09D">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3.本协议有效期自双方签字盖章之日起，至实习期结束止。</w:t>
      </w:r>
    </w:p>
    <w:p w14:paraId="77FACDA1">
      <w:pPr>
        <w:shd w:val="clear" w:color="auto" w:fill="auto"/>
        <w:spacing w:line="360" w:lineRule="auto"/>
        <w:rPr>
          <w:rFonts w:hint="eastAsia" w:ascii="仿宋" w:hAnsi="仿宋" w:eastAsia="仿宋" w:cs="仿宋"/>
          <w:color w:val="000000"/>
          <w:sz w:val="24"/>
          <w:szCs w:val="24"/>
          <w:highlight w:val="none"/>
        </w:rPr>
      </w:pPr>
    </w:p>
    <w:p w14:paraId="548231B6">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   方：</w:t>
      </w:r>
      <w:r>
        <w:rPr>
          <w:rFonts w:hint="eastAsia" w:ascii="仿宋" w:hAnsi="仿宋" w:eastAsia="仿宋" w:cs="仿宋"/>
          <w:color w:val="000000"/>
          <w:sz w:val="24"/>
          <w:szCs w:val="24"/>
          <w:highlight w:val="none"/>
          <w:lang w:eastAsia="zh-CN"/>
        </w:rPr>
        <w:t>青海省青海湖生态保护基金会</w:t>
      </w:r>
      <w:r>
        <w:rPr>
          <w:rFonts w:hint="eastAsia" w:ascii="仿宋" w:hAnsi="仿宋" w:eastAsia="仿宋" w:cs="仿宋"/>
          <w:color w:val="000000"/>
          <w:sz w:val="24"/>
          <w:szCs w:val="24"/>
          <w:highlight w:val="none"/>
        </w:rPr>
        <w:t xml:space="preserve">     乙  方： </w:t>
      </w:r>
    </w:p>
    <w:p w14:paraId="3A5D293A">
      <w:pPr>
        <w:shd w:val="clear" w:color="auto" w:fill="auto"/>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代表签字（盖章）：                     身份证号码： </w:t>
      </w:r>
    </w:p>
    <w:p w14:paraId="69046167">
      <w:pPr>
        <w:shd w:val="clear" w:color="auto" w:fill="auto"/>
        <w:spacing w:line="360" w:lineRule="auto"/>
        <w:rPr>
          <w:rFonts w:hint="eastAsia" w:ascii="仿宋" w:hAnsi="仿宋" w:eastAsia="仿宋" w:cs="仿宋"/>
          <w:b/>
          <w:bCs/>
          <w:color w:val="000000"/>
          <w:sz w:val="32"/>
          <w:szCs w:val="28"/>
          <w:highlight w:val="none"/>
        </w:rPr>
      </w:pPr>
      <w:r>
        <w:rPr>
          <w:rFonts w:hint="eastAsia" w:ascii="仿宋" w:hAnsi="仿宋" w:eastAsia="仿宋" w:cs="仿宋"/>
          <w:color w:val="000000"/>
          <w:sz w:val="24"/>
          <w:szCs w:val="24"/>
          <w:highlight w:val="none"/>
        </w:rPr>
        <w:t xml:space="preserve">          年    月    日                  年    月    日 </w:t>
      </w:r>
      <w:r>
        <w:rPr>
          <w:rFonts w:hint="eastAsia" w:ascii="仿宋" w:hAnsi="仿宋" w:eastAsia="仿宋" w:cs="仿宋"/>
          <w:color w:val="000000"/>
          <w:highlight w:val="none"/>
        </w:rPr>
        <w:t xml:space="preserve"> </w:t>
      </w:r>
    </w:p>
    <w:p w14:paraId="656C683A">
      <w:pPr>
        <w:numPr>
          <w:ilvl w:val="0"/>
          <w:numId w:val="0"/>
        </w:numPr>
        <w:shd w:val="clear" w:color="auto" w:fill="auto"/>
        <w:spacing w:line="48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lang w:val="en-US" w:eastAsia="zh-CN"/>
        </w:rPr>
        <w:t>三、</w:t>
      </w:r>
      <w:r>
        <w:rPr>
          <w:rFonts w:hint="eastAsia" w:ascii="仿宋" w:hAnsi="仿宋" w:eastAsia="仿宋" w:cs="仿宋"/>
          <w:b/>
          <w:bCs/>
          <w:color w:val="000000"/>
          <w:sz w:val="32"/>
          <w:szCs w:val="28"/>
          <w:highlight w:val="none"/>
        </w:rPr>
        <w:t>实习生守则</w:t>
      </w:r>
    </w:p>
    <w:p w14:paraId="4F873E13">
      <w:pPr>
        <w:shd w:val="clear" w:color="auto" w:fill="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eastAsia="zh-CN"/>
        </w:rPr>
        <w:t>青海省青海湖生态保护基金会</w:t>
      </w:r>
      <w:r>
        <w:rPr>
          <w:rFonts w:hint="eastAsia" w:ascii="仿宋" w:hAnsi="仿宋" w:eastAsia="仿宋" w:cs="仿宋"/>
          <w:b/>
          <w:bCs/>
          <w:color w:val="000000"/>
          <w:sz w:val="28"/>
          <w:szCs w:val="28"/>
          <w:highlight w:val="none"/>
        </w:rPr>
        <w:t>实习生守则</w:t>
      </w:r>
    </w:p>
    <w:p w14:paraId="5780DFAF">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 遵守纪律，服从安排，在确定的时间、地点参与实习，不得无故缺席，因事、因病不能参加已经安排好的实习，需提前告知督导；</w:t>
      </w:r>
    </w:p>
    <w:p w14:paraId="035C77C6">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2、尊重及爱护服务对象，并以友善态度与他们相处；</w:t>
      </w:r>
    </w:p>
    <w:p w14:paraId="5739CCB0">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4. 依照服务单位的服务宗旨及守则开展服务，接受机构社工的督导； </w:t>
      </w:r>
    </w:p>
    <w:p w14:paraId="2AF9B33C">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5. 尊重服务对象的隐私权，遵守服务单位有关保密的制度，并保证服务对象的资料不会使用在服务单位指定的用途以外； </w:t>
      </w:r>
    </w:p>
    <w:p w14:paraId="55115FCA">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6. 对服务对象不能抱着施予恩惠的心理，应本着助人自助的理念，热情、友善地提供优质服务； </w:t>
      </w:r>
    </w:p>
    <w:p w14:paraId="6A0CBB16">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7. 与机构职员及其他实习生要互相团结，互相合作，勇于接受批评并作出改善； </w:t>
      </w:r>
    </w:p>
    <w:p w14:paraId="7A74DA07">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8. 不应滥用实习生的身份，向服务对象索取金钱或其它物质上的回报，或作任何欺诈性行为； </w:t>
      </w:r>
    </w:p>
    <w:p w14:paraId="291902B8">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9. 不应对服务对象的情况妄下判断，提供服务单位服务范围以外的服务或建议； </w:t>
      </w:r>
    </w:p>
    <w:p w14:paraId="294E75F9">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10. 不应强加个人之政治、信仰或价值观念于服务对象； </w:t>
      </w:r>
    </w:p>
    <w:p w14:paraId="37DEE37C">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11. 在提供服务时，不应罔顾自身安全，作出危险的行为； </w:t>
      </w:r>
    </w:p>
    <w:p w14:paraId="24C81131">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 不得利用机构名义进行商业活动；</w:t>
      </w:r>
    </w:p>
    <w:p w14:paraId="72C42257">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15. 未经机构授权，不得冒用机构名义行事；</w:t>
      </w:r>
    </w:p>
    <w:p w14:paraId="467684BB">
      <w:pPr>
        <w:shd w:val="clear" w:color="auto" w:fill="auto"/>
        <w:spacing w:line="36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16. 不得泄露机构资料，或其他实习生的资料； </w:t>
      </w:r>
    </w:p>
    <w:p w14:paraId="77472C54">
      <w:pPr>
        <w:shd w:val="clear" w:color="auto" w:fill="auto"/>
        <w:spacing w:line="360" w:lineRule="auto"/>
        <w:rPr>
          <w:rFonts w:hint="eastAsia" w:ascii="仿宋" w:hAnsi="仿宋" w:eastAsia="仿宋" w:cs="仿宋"/>
          <w:b/>
          <w:bCs/>
          <w:color w:val="000000"/>
          <w:sz w:val="32"/>
          <w:szCs w:val="28"/>
          <w:highlight w:val="none"/>
        </w:rPr>
      </w:pPr>
      <w:r>
        <w:rPr>
          <w:rFonts w:hint="eastAsia" w:ascii="仿宋" w:hAnsi="仿宋" w:eastAsia="仿宋" w:cs="仿宋"/>
          <w:color w:val="000000"/>
          <w:sz w:val="28"/>
          <w:szCs w:val="28"/>
          <w:highlight w:val="none"/>
        </w:rPr>
        <w:t>17. 不得擅自将机构资料挪作他用。</w:t>
      </w:r>
    </w:p>
    <w:p w14:paraId="39B1D792">
      <w:pPr>
        <w:numPr>
          <w:ilvl w:val="0"/>
          <w:numId w:val="0"/>
        </w:numPr>
        <w:shd w:val="clear" w:color="auto" w:fill="auto"/>
        <w:spacing w:line="48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lang w:val="en-US" w:eastAsia="zh-CN"/>
        </w:rPr>
        <w:t>四、</w:t>
      </w:r>
      <w:r>
        <w:rPr>
          <w:rFonts w:hint="eastAsia" w:ascii="仿宋" w:hAnsi="仿宋" w:eastAsia="仿宋" w:cs="仿宋"/>
          <w:b/>
          <w:bCs/>
          <w:color w:val="000000"/>
          <w:sz w:val="32"/>
          <w:szCs w:val="28"/>
          <w:highlight w:val="none"/>
        </w:rPr>
        <w:t>实习生培训</w:t>
      </w:r>
    </w:p>
    <w:p w14:paraId="61976F54">
      <w:pPr>
        <w:shd w:val="clear" w:color="auto" w:fill="auto"/>
        <w:spacing w:line="480" w:lineRule="auto"/>
        <w:rPr>
          <w:rFonts w:hint="eastAsia" w:ascii="仿宋" w:hAnsi="仿宋" w:eastAsia="仿宋" w:cs="仿宋"/>
          <w:b/>
          <w:bCs/>
          <w:color w:val="000000"/>
          <w:sz w:val="28"/>
          <w:szCs w:val="24"/>
          <w:highlight w:val="none"/>
        </w:rPr>
      </w:pPr>
      <w:r>
        <w:rPr>
          <w:rFonts w:hint="eastAsia" w:ascii="仿宋" w:hAnsi="仿宋" w:eastAsia="仿宋" w:cs="仿宋"/>
          <w:b/>
          <w:bCs/>
          <w:color w:val="000000"/>
          <w:sz w:val="28"/>
          <w:szCs w:val="24"/>
          <w:highlight w:val="none"/>
        </w:rPr>
        <w:t>（一）第一次集体培训</w:t>
      </w:r>
    </w:p>
    <w:p w14:paraId="7685298B">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1.</w:t>
      </w:r>
      <w:r>
        <w:rPr>
          <w:rFonts w:hint="eastAsia" w:ascii="仿宋" w:hAnsi="仿宋" w:eastAsia="仿宋" w:cs="仿宋"/>
          <w:color w:val="000000"/>
          <w:sz w:val="28"/>
          <w:szCs w:val="24"/>
          <w:highlight w:val="none"/>
          <w:lang w:eastAsia="zh-CN"/>
        </w:rPr>
        <w:t>青海省青海湖生态保护基金会</w:t>
      </w:r>
      <w:r>
        <w:rPr>
          <w:rFonts w:hint="eastAsia" w:ascii="仿宋" w:hAnsi="仿宋" w:eastAsia="仿宋" w:cs="仿宋"/>
          <w:color w:val="000000"/>
          <w:sz w:val="28"/>
          <w:szCs w:val="24"/>
          <w:highlight w:val="none"/>
        </w:rPr>
        <w:t>介绍</w:t>
      </w:r>
    </w:p>
    <w:p w14:paraId="1E88028E">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2.</w:t>
      </w:r>
      <w:r>
        <w:rPr>
          <w:rFonts w:hint="eastAsia" w:ascii="仿宋" w:hAnsi="仿宋" w:eastAsia="仿宋" w:cs="仿宋"/>
          <w:color w:val="000000"/>
          <w:sz w:val="28"/>
          <w:szCs w:val="24"/>
          <w:highlight w:val="none"/>
          <w:lang w:eastAsia="zh-CN"/>
        </w:rPr>
        <w:t>青海省青海湖生态保护基金会</w:t>
      </w:r>
      <w:r>
        <w:rPr>
          <w:rFonts w:hint="eastAsia" w:ascii="仿宋" w:hAnsi="仿宋" w:eastAsia="仿宋" w:cs="仿宋"/>
          <w:color w:val="000000"/>
          <w:sz w:val="28"/>
          <w:szCs w:val="24"/>
          <w:highlight w:val="none"/>
        </w:rPr>
        <w:t>项目点、服务点介绍</w:t>
      </w:r>
    </w:p>
    <w:p w14:paraId="420582BC">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3.解读实习生手册</w:t>
      </w:r>
    </w:p>
    <w:p w14:paraId="1FB2BC93">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4.实习生各项制度</w:t>
      </w:r>
    </w:p>
    <w:p w14:paraId="6BFC2A77">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5.确定实习总督导、责任督导及工作分配</w:t>
      </w:r>
    </w:p>
    <w:p w14:paraId="16D67579">
      <w:pPr>
        <w:shd w:val="clear" w:color="auto" w:fill="auto"/>
        <w:spacing w:line="480" w:lineRule="auto"/>
        <w:rPr>
          <w:rFonts w:hint="eastAsia" w:ascii="仿宋" w:hAnsi="仿宋" w:eastAsia="仿宋" w:cs="仿宋"/>
          <w:b/>
          <w:bCs/>
          <w:color w:val="000000"/>
          <w:sz w:val="28"/>
          <w:szCs w:val="24"/>
          <w:highlight w:val="none"/>
        </w:rPr>
      </w:pPr>
      <w:r>
        <w:rPr>
          <w:rFonts w:hint="eastAsia" w:ascii="仿宋" w:hAnsi="仿宋" w:eastAsia="仿宋" w:cs="仿宋"/>
          <w:b/>
          <w:bCs/>
          <w:color w:val="000000"/>
          <w:sz w:val="28"/>
          <w:szCs w:val="24"/>
          <w:highlight w:val="none"/>
        </w:rPr>
        <w:t>（二）各项目点、服务点培训</w:t>
      </w:r>
    </w:p>
    <w:p w14:paraId="7091DE3E">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1.项目点、服务点介绍</w:t>
      </w:r>
    </w:p>
    <w:p w14:paraId="35D68141">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2.服务技巧培训</w:t>
      </w:r>
    </w:p>
    <w:p w14:paraId="4F031357">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3.实习生周督导例会</w:t>
      </w:r>
    </w:p>
    <w:p w14:paraId="62AEF371">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4.实习生月督导会议</w:t>
      </w:r>
    </w:p>
    <w:p w14:paraId="6D49878F">
      <w:pPr>
        <w:shd w:val="clear" w:color="auto" w:fill="auto"/>
        <w:spacing w:line="480" w:lineRule="auto"/>
        <w:rPr>
          <w:rFonts w:hint="eastAsia" w:ascii="仿宋" w:hAnsi="仿宋" w:eastAsia="仿宋" w:cs="仿宋"/>
          <w:b/>
          <w:bCs/>
          <w:color w:val="000000"/>
          <w:sz w:val="28"/>
          <w:szCs w:val="24"/>
          <w:highlight w:val="none"/>
        </w:rPr>
      </w:pPr>
      <w:r>
        <w:rPr>
          <w:rFonts w:hint="eastAsia" w:ascii="仿宋" w:hAnsi="仿宋" w:eastAsia="仿宋" w:cs="仿宋"/>
          <w:b/>
          <w:bCs/>
          <w:color w:val="000000"/>
          <w:sz w:val="28"/>
          <w:szCs w:val="24"/>
          <w:highlight w:val="none"/>
        </w:rPr>
        <w:t>（三）实习总结会议</w:t>
      </w:r>
    </w:p>
    <w:p w14:paraId="1138C2F3">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1.热身游戏</w:t>
      </w:r>
    </w:p>
    <w:p w14:paraId="1E96A4B9">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2.实习生分享实习收获</w:t>
      </w:r>
    </w:p>
    <w:p w14:paraId="59970881">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3.责任督导反馈</w:t>
      </w:r>
    </w:p>
    <w:p w14:paraId="4920B0DC">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4.总督导反馈总结</w:t>
      </w:r>
    </w:p>
    <w:p w14:paraId="2DA32478">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5.公布实习生评估结果</w:t>
      </w:r>
    </w:p>
    <w:p w14:paraId="270A2AD3">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6.颁发实习生结业证书</w:t>
      </w:r>
    </w:p>
    <w:p w14:paraId="70DB7689">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7.赠送实习纪念品</w:t>
      </w:r>
    </w:p>
    <w:p w14:paraId="4B9ED39D">
      <w:pPr>
        <w:shd w:val="clear" w:color="auto" w:fill="auto"/>
        <w:spacing w:line="48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8.合影留念</w:t>
      </w:r>
    </w:p>
    <w:p w14:paraId="7EFF96C6">
      <w:pPr>
        <w:shd w:val="clear" w:color="auto" w:fill="auto"/>
        <w:spacing w:line="480" w:lineRule="auto"/>
        <w:ind w:firstLine="560" w:firstLineChars="200"/>
        <w:rPr>
          <w:rFonts w:hint="eastAsia" w:ascii="仿宋" w:hAnsi="仿宋" w:eastAsia="仿宋" w:cs="仿宋"/>
          <w:color w:val="000000"/>
          <w:sz w:val="28"/>
          <w:szCs w:val="24"/>
          <w:highlight w:val="none"/>
        </w:rPr>
      </w:pPr>
    </w:p>
    <w:p w14:paraId="5152D869">
      <w:pPr>
        <w:numPr>
          <w:ilvl w:val="0"/>
          <w:numId w:val="0"/>
        </w:numPr>
        <w:shd w:val="clear" w:color="auto" w:fill="auto"/>
        <w:spacing w:line="48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lang w:val="en-US" w:eastAsia="zh-CN"/>
        </w:rPr>
        <w:t>五、</w:t>
      </w:r>
      <w:r>
        <w:rPr>
          <w:rFonts w:hint="eastAsia" w:ascii="仿宋" w:hAnsi="仿宋" w:eastAsia="仿宋" w:cs="仿宋"/>
          <w:b/>
          <w:bCs/>
          <w:color w:val="000000"/>
          <w:sz w:val="32"/>
          <w:szCs w:val="28"/>
          <w:highlight w:val="none"/>
        </w:rPr>
        <w:t>实习计划表</w:t>
      </w:r>
    </w:p>
    <w:p w14:paraId="585EBB42">
      <w:pPr>
        <w:shd w:val="clear" w:color="auto" w:fill="auto"/>
        <w:spacing w:line="480" w:lineRule="auto"/>
        <w:jc w:val="center"/>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lang w:eastAsia="zh-CN"/>
        </w:rPr>
        <w:t>青海省青海湖生态保护基金会</w:t>
      </w:r>
      <w:r>
        <w:rPr>
          <w:rFonts w:hint="eastAsia" w:ascii="仿宋" w:hAnsi="仿宋" w:eastAsia="仿宋" w:cs="仿宋"/>
          <w:b/>
          <w:bCs/>
          <w:color w:val="000000"/>
          <w:sz w:val="32"/>
          <w:szCs w:val="28"/>
          <w:highlight w:val="none"/>
        </w:rPr>
        <w:t>实习计划表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980"/>
        <w:gridCol w:w="5104"/>
      </w:tblGrid>
      <w:tr w14:paraId="7224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noWrap w:val="0"/>
            <w:vAlign w:val="top"/>
          </w:tcPr>
          <w:p w14:paraId="42E7FFA2">
            <w:pPr>
              <w:shd w:val="clear" w:color="auto" w:fill="auto"/>
              <w:spacing w:line="360" w:lineRule="auto"/>
              <w:rPr>
                <w:rFonts w:hint="eastAsia" w:ascii="仿宋" w:hAnsi="仿宋" w:eastAsia="仿宋" w:cs="仿宋"/>
                <w:b/>
                <w:bCs/>
                <w:color w:val="000000"/>
                <w:sz w:val="24"/>
                <w:szCs w:val="22"/>
                <w:highlight w:val="none"/>
              </w:rPr>
            </w:pPr>
            <w:r>
              <w:rPr>
                <w:rFonts w:hint="eastAsia" w:ascii="仿宋" w:hAnsi="仿宋" w:eastAsia="仿宋" w:cs="仿宋"/>
                <w:b/>
                <w:bCs/>
                <w:color w:val="000000"/>
                <w:sz w:val="24"/>
                <w:szCs w:val="22"/>
                <w:highlight w:val="none"/>
              </w:rPr>
              <w:t>实习生姓名：                督导姓名：                 实习时间：</w:t>
            </w:r>
          </w:p>
        </w:tc>
      </w:tr>
      <w:tr w14:paraId="0E0D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noWrap w:val="0"/>
            <w:vAlign w:val="top"/>
          </w:tcPr>
          <w:p w14:paraId="1058E59D">
            <w:pPr>
              <w:shd w:val="clear" w:color="auto" w:fill="auto"/>
              <w:spacing w:line="360" w:lineRule="auto"/>
              <w:jc w:val="center"/>
              <w:rPr>
                <w:rFonts w:hint="eastAsia" w:ascii="仿宋" w:hAnsi="仿宋" w:eastAsia="仿宋" w:cs="仿宋"/>
                <w:b/>
                <w:bCs/>
                <w:color w:val="000000"/>
                <w:sz w:val="24"/>
                <w:szCs w:val="22"/>
                <w:highlight w:val="none"/>
              </w:rPr>
            </w:pPr>
            <w:r>
              <w:rPr>
                <w:rFonts w:hint="eastAsia" w:ascii="仿宋" w:hAnsi="仿宋" w:eastAsia="仿宋" w:cs="仿宋"/>
                <w:b/>
                <w:bCs/>
                <w:color w:val="000000"/>
                <w:sz w:val="24"/>
                <w:szCs w:val="22"/>
                <w:highlight w:val="none"/>
              </w:rPr>
              <w:t>实习阶段</w:t>
            </w:r>
          </w:p>
        </w:tc>
        <w:tc>
          <w:tcPr>
            <w:tcW w:w="1980" w:type="dxa"/>
            <w:noWrap w:val="0"/>
            <w:vAlign w:val="top"/>
          </w:tcPr>
          <w:p w14:paraId="44960FDD">
            <w:pPr>
              <w:shd w:val="clear" w:color="auto" w:fill="auto"/>
              <w:spacing w:line="360" w:lineRule="auto"/>
              <w:jc w:val="center"/>
              <w:rPr>
                <w:rFonts w:hint="eastAsia" w:ascii="仿宋" w:hAnsi="仿宋" w:eastAsia="仿宋" w:cs="仿宋"/>
                <w:b/>
                <w:bCs/>
                <w:color w:val="000000"/>
                <w:sz w:val="24"/>
                <w:szCs w:val="22"/>
                <w:highlight w:val="none"/>
              </w:rPr>
            </w:pPr>
            <w:r>
              <w:rPr>
                <w:rFonts w:hint="eastAsia" w:ascii="仿宋" w:hAnsi="仿宋" w:eastAsia="仿宋" w:cs="仿宋"/>
                <w:b/>
                <w:bCs/>
                <w:color w:val="000000"/>
                <w:sz w:val="24"/>
                <w:szCs w:val="22"/>
                <w:highlight w:val="none"/>
              </w:rPr>
              <w:t>具体时间</w:t>
            </w:r>
          </w:p>
        </w:tc>
        <w:tc>
          <w:tcPr>
            <w:tcW w:w="5104" w:type="dxa"/>
            <w:noWrap w:val="0"/>
            <w:vAlign w:val="top"/>
          </w:tcPr>
          <w:p w14:paraId="1A6033FE">
            <w:pPr>
              <w:shd w:val="clear" w:color="auto" w:fill="auto"/>
              <w:spacing w:line="360" w:lineRule="auto"/>
              <w:jc w:val="center"/>
              <w:rPr>
                <w:rFonts w:hint="eastAsia" w:ascii="仿宋" w:hAnsi="仿宋" w:eastAsia="仿宋" w:cs="仿宋"/>
                <w:b/>
                <w:bCs/>
                <w:color w:val="000000"/>
                <w:sz w:val="24"/>
                <w:szCs w:val="22"/>
                <w:highlight w:val="none"/>
              </w:rPr>
            </w:pPr>
            <w:r>
              <w:rPr>
                <w:rFonts w:hint="eastAsia" w:ascii="仿宋" w:hAnsi="仿宋" w:eastAsia="仿宋" w:cs="仿宋"/>
                <w:b/>
                <w:bCs/>
                <w:color w:val="000000"/>
                <w:sz w:val="24"/>
                <w:szCs w:val="22"/>
                <w:highlight w:val="none"/>
              </w:rPr>
              <w:t>计划实习内容</w:t>
            </w:r>
          </w:p>
        </w:tc>
      </w:tr>
      <w:tr w14:paraId="2269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1438" w:type="dxa"/>
            <w:noWrap w:val="0"/>
            <w:vAlign w:val="top"/>
          </w:tcPr>
          <w:p w14:paraId="600A8F48">
            <w:pPr>
              <w:shd w:val="clear" w:color="auto" w:fill="auto"/>
              <w:spacing w:line="360" w:lineRule="auto"/>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第一阶段</w:t>
            </w:r>
          </w:p>
          <w:p w14:paraId="1FEEEB51">
            <w:pPr>
              <w:shd w:val="clear" w:color="auto" w:fill="auto"/>
              <w:spacing w:line="360" w:lineRule="auto"/>
              <w:rPr>
                <w:rFonts w:hint="eastAsia" w:ascii="仿宋" w:hAnsi="仿宋" w:eastAsia="仿宋" w:cs="仿宋"/>
                <w:color w:val="000000"/>
                <w:sz w:val="24"/>
                <w:szCs w:val="22"/>
                <w:highlight w:val="none"/>
              </w:rPr>
            </w:pPr>
          </w:p>
          <w:p w14:paraId="642D47A8">
            <w:pPr>
              <w:shd w:val="clear" w:color="auto" w:fill="auto"/>
              <w:spacing w:line="360" w:lineRule="auto"/>
              <w:rPr>
                <w:rFonts w:hint="eastAsia" w:ascii="仿宋" w:hAnsi="仿宋" w:eastAsia="仿宋" w:cs="仿宋"/>
                <w:color w:val="000000"/>
                <w:sz w:val="24"/>
                <w:szCs w:val="22"/>
                <w:highlight w:val="none"/>
              </w:rPr>
            </w:pPr>
          </w:p>
          <w:p w14:paraId="129511FC">
            <w:pPr>
              <w:shd w:val="clear" w:color="auto" w:fill="auto"/>
              <w:spacing w:line="360" w:lineRule="auto"/>
              <w:rPr>
                <w:rFonts w:hint="eastAsia" w:ascii="仿宋" w:hAnsi="仿宋" w:eastAsia="仿宋" w:cs="仿宋"/>
                <w:color w:val="000000"/>
                <w:sz w:val="24"/>
                <w:szCs w:val="22"/>
                <w:highlight w:val="none"/>
              </w:rPr>
            </w:pPr>
          </w:p>
          <w:p w14:paraId="715EEADA">
            <w:pPr>
              <w:shd w:val="clear" w:color="auto" w:fill="auto"/>
              <w:spacing w:line="360" w:lineRule="auto"/>
              <w:rPr>
                <w:rFonts w:hint="eastAsia" w:ascii="仿宋" w:hAnsi="仿宋" w:eastAsia="仿宋" w:cs="仿宋"/>
                <w:color w:val="000000"/>
                <w:sz w:val="24"/>
                <w:szCs w:val="22"/>
                <w:highlight w:val="none"/>
              </w:rPr>
            </w:pPr>
          </w:p>
          <w:p w14:paraId="74281FB8">
            <w:pPr>
              <w:shd w:val="clear" w:color="auto" w:fill="auto"/>
              <w:spacing w:line="360" w:lineRule="auto"/>
              <w:rPr>
                <w:rFonts w:hint="eastAsia" w:ascii="仿宋" w:hAnsi="仿宋" w:eastAsia="仿宋" w:cs="仿宋"/>
                <w:color w:val="000000"/>
                <w:sz w:val="24"/>
                <w:szCs w:val="22"/>
                <w:highlight w:val="none"/>
              </w:rPr>
            </w:pPr>
          </w:p>
          <w:p w14:paraId="44D0B002">
            <w:pPr>
              <w:shd w:val="clear" w:color="auto" w:fill="auto"/>
              <w:spacing w:line="360" w:lineRule="auto"/>
              <w:rPr>
                <w:rFonts w:hint="eastAsia" w:ascii="仿宋" w:hAnsi="仿宋" w:eastAsia="仿宋" w:cs="仿宋"/>
                <w:color w:val="000000"/>
                <w:sz w:val="24"/>
                <w:szCs w:val="22"/>
                <w:highlight w:val="none"/>
              </w:rPr>
            </w:pPr>
          </w:p>
        </w:tc>
        <w:tc>
          <w:tcPr>
            <w:tcW w:w="1980" w:type="dxa"/>
            <w:noWrap w:val="0"/>
            <w:vAlign w:val="top"/>
          </w:tcPr>
          <w:p w14:paraId="2F07F64D">
            <w:pPr>
              <w:shd w:val="clear" w:color="auto" w:fill="auto"/>
              <w:spacing w:line="360" w:lineRule="auto"/>
              <w:rPr>
                <w:rFonts w:hint="eastAsia" w:ascii="仿宋" w:hAnsi="仿宋" w:eastAsia="仿宋" w:cs="仿宋"/>
                <w:color w:val="000000"/>
                <w:sz w:val="24"/>
                <w:szCs w:val="22"/>
                <w:highlight w:val="none"/>
              </w:rPr>
            </w:pPr>
          </w:p>
        </w:tc>
        <w:tc>
          <w:tcPr>
            <w:tcW w:w="5104" w:type="dxa"/>
            <w:noWrap w:val="0"/>
            <w:vAlign w:val="top"/>
          </w:tcPr>
          <w:p w14:paraId="409AA3F1">
            <w:pPr>
              <w:shd w:val="clear" w:color="auto" w:fill="auto"/>
              <w:spacing w:line="360" w:lineRule="auto"/>
              <w:rPr>
                <w:rFonts w:hint="eastAsia" w:ascii="仿宋" w:hAnsi="仿宋" w:eastAsia="仿宋" w:cs="仿宋"/>
                <w:color w:val="000000"/>
                <w:sz w:val="24"/>
                <w:szCs w:val="22"/>
                <w:highlight w:val="none"/>
              </w:rPr>
            </w:pPr>
          </w:p>
        </w:tc>
      </w:tr>
      <w:tr w14:paraId="564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noWrap w:val="0"/>
            <w:vAlign w:val="top"/>
          </w:tcPr>
          <w:p w14:paraId="25570638">
            <w:pPr>
              <w:shd w:val="clear" w:color="auto" w:fill="auto"/>
              <w:spacing w:line="360" w:lineRule="auto"/>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第二阶段</w:t>
            </w:r>
          </w:p>
          <w:p w14:paraId="112FD102">
            <w:pPr>
              <w:shd w:val="clear" w:color="auto" w:fill="auto"/>
              <w:spacing w:line="360" w:lineRule="auto"/>
              <w:rPr>
                <w:rFonts w:hint="eastAsia" w:ascii="仿宋" w:hAnsi="仿宋" w:eastAsia="仿宋" w:cs="仿宋"/>
                <w:color w:val="000000"/>
                <w:sz w:val="24"/>
                <w:szCs w:val="22"/>
                <w:highlight w:val="none"/>
              </w:rPr>
            </w:pPr>
          </w:p>
          <w:p w14:paraId="10ECAEEB">
            <w:pPr>
              <w:shd w:val="clear" w:color="auto" w:fill="auto"/>
              <w:spacing w:line="360" w:lineRule="auto"/>
              <w:rPr>
                <w:rFonts w:hint="eastAsia" w:ascii="仿宋" w:hAnsi="仿宋" w:eastAsia="仿宋" w:cs="仿宋"/>
                <w:color w:val="000000"/>
                <w:sz w:val="24"/>
                <w:szCs w:val="22"/>
                <w:highlight w:val="none"/>
              </w:rPr>
            </w:pPr>
          </w:p>
          <w:p w14:paraId="5EA34BD4">
            <w:pPr>
              <w:shd w:val="clear" w:color="auto" w:fill="auto"/>
              <w:spacing w:line="360" w:lineRule="auto"/>
              <w:rPr>
                <w:rFonts w:hint="eastAsia" w:ascii="仿宋" w:hAnsi="仿宋" w:eastAsia="仿宋" w:cs="仿宋"/>
                <w:color w:val="000000"/>
                <w:sz w:val="24"/>
                <w:szCs w:val="22"/>
                <w:highlight w:val="none"/>
              </w:rPr>
            </w:pPr>
          </w:p>
          <w:p w14:paraId="2C6AF4E3">
            <w:pPr>
              <w:shd w:val="clear" w:color="auto" w:fill="auto"/>
              <w:spacing w:line="360" w:lineRule="auto"/>
              <w:rPr>
                <w:rFonts w:hint="eastAsia" w:ascii="仿宋" w:hAnsi="仿宋" w:eastAsia="仿宋" w:cs="仿宋"/>
                <w:color w:val="000000"/>
                <w:sz w:val="24"/>
                <w:szCs w:val="22"/>
                <w:highlight w:val="none"/>
              </w:rPr>
            </w:pPr>
          </w:p>
          <w:p w14:paraId="7CB08AD5">
            <w:pPr>
              <w:shd w:val="clear" w:color="auto" w:fill="auto"/>
              <w:spacing w:line="360" w:lineRule="auto"/>
              <w:rPr>
                <w:rFonts w:hint="eastAsia" w:ascii="仿宋" w:hAnsi="仿宋" w:eastAsia="仿宋" w:cs="仿宋"/>
                <w:color w:val="000000"/>
                <w:sz w:val="24"/>
                <w:szCs w:val="22"/>
                <w:highlight w:val="none"/>
              </w:rPr>
            </w:pPr>
          </w:p>
          <w:p w14:paraId="050C023E">
            <w:pPr>
              <w:shd w:val="clear" w:color="auto" w:fill="auto"/>
              <w:spacing w:line="360" w:lineRule="auto"/>
              <w:rPr>
                <w:rFonts w:hint="eastAsia" w:ascii="仿宋" w:hAnsi="仿宋" w:eastAsia="仿宋" w:cs="仿宋"/>
                <w:color w:val="000000"/>
                <w:sz w:val="24"/>
                <w:szCs w:val="22"/>
                <w:highlight w:val="none"/>
              </w:rPr>
            </w:pPr>
          </w:p>
          <w:p w14:paraId="76ECCEE0">
            <w:pPr>
              <w:shd w:val="clear" w:color="auto" w:fill="auto"/>
              <w:spacing w:line="360" w:lineRule="auto"/>
              <w:rPr>
                <w:rFonts w:hint="eastAsia" w:ascii="仿宋" w:hAnsi="仿宋" w:eastAsia="仿宋" w:cs="仿宋"/>
                <w:color w:val="000000"/>
                <w:sz w:val="24"/>
                <w:szCs w:val="22"/>
                <w:highlight w:val="none"/>
              </w:rPr>
            </w:pPr>
          </w:p>
        </w:tc>
        <w:tc>
          <w:tcPr>
            <w:tcW w:w="1980" w:type="dxa"/>
            <w:noWrap w:val="0"/>
            <w:vAlign w:val="top"/>
          </w:tcPr>
          <w:p w14:paraId="00E1FE29">
            <w:pPr>
              <w:shd w:val="clear" w:color="auto" w:fill="auto"/>
              <w:spacing w:line="360" w:lineRule="auto"/>
              <w:rPr>
                <w:rFonts w:hint="eastAsia" w:ascii="仿宋" w:hAnsi="仿宋" w:eastAsia="仿宋" w:cs="仿宋"/>
                <w:color w:val="000000"/>
                <w:sz w:val="24"/>
                <w:szCs w:val="22"/>
                <w:highlight w:val="none"/>
              </w:rPr>
            </w:pPr>
          </w:p>
        </w:tc>
        <w:tc>
          <w:tcPr>
            <w:tcW w:w="5104" w:type="dxa"/>
            <w:noWrap w:val="0"/>
            <w:vAlign w:val="top"/>
          </w:tcPr>
          <w:p w14:paraId="3CC4C5D0">
            <w:pPr>
              <w:shd w:val="clear" w:color="auto" w:fill="auto"/>
              <w:spacing w:line="360" w:lineRule="auto"/>
              <w:rPr>
                <w:rFonts w:hint="eastAsia" w:ascii="仿宋" w:hAnsi="仿宋" w:eastAsia="仿宋" w:cs="仿宋"/>
                <w:color w:val="000000"/>
                <w:sz w:val="24"/>
                <w:szCs w:val="22"/>
                <w:highlight w:val="none"/>
              </w:rPr>
            </w:pPr>
          </w:p>
        </w:tc>
      </w:tr>
      <w:tr w14:paraId="50CD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noWrap w:val="0"/>
            <w:vAlign w:val="top"/>
          </w:tcPr>
          <w:p w14:paraId="19002842">
            <w:pPr>
              <w:shd w:val="clear" w:color="auto" w:fill="auto"/>
              <w:spacing w:line="360" w:lineRule="auto"/>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第三阶段</w:t>
            </w:r>
          </w:p>
          <w:p w14:paraId="21809E01">
            <w:pPr>
              <w:shd w:val="clear" w:color="auto" w:fill="auto"/>
              <w:spacing w:line="360" w:lineRule="auto"/>
              <w:rPr>
                <w:rFonts w:hint="eastAsia" w:ascii="仿宋" w:hAnsi="仿宋" w:eastAsia="仿宋" w:cs="仿宋"/>
                <w:color w:val="000000"/>
                <w:sz w:val="24"/>
                <w:szCs w:val="22"/>
                <w:highlight w:val="none"/>
              </w:rPr>
            </w:pPr>
          </w:p>
          <w:p w14:paraId="329E1B39">
            <w:pPr>
              <w:shd w:val="clear" w:color="auto" w:fill="auto"/>
              <w:spacing w:line="360" w:lineRule="auto"/>
              <w:rPr>
                <w:rFonts w:hint="eastAsia" w:ascii="仿宋" w:hAnsi="仿宋" w:eastAsia="仿宋" w:cs="仿宋"/>
                <w:color w:val="000000"/>
                <w:sz w:val="24"/>
                <w:szCs w:val="22"/>
                <w:highlight w:val="none"/>
              </w:rPr>
            </w:pPr>
          </w:p>
          <w:p w14:paraId="53BF3436">
            <w:pPr>
              <w:shd w:val="clear" w:color="auto" w:fill="auto"/>
              <w:spacing w:line="360" w:lineRule="auto"/>
              <w:rPr>
                <w:rFonts w:hint="eastAsia" w:ascii="仿宋" w:hAnsi="仿宋" w:eastAsia="仿宋" w:cs="仿宋"/>
                <w:color w:val="000000"/>
                <w:sz w:val="24"/>
                <w:szCs w:val="22"/>
                <w:highlight w:val="none"/>
              </w:rPr>
            </w:pPr>
          </w:p>
          <w:p w14:paraId="282AC079">
            <w:pPr>
              <w:shd w:val="clear" w:color="auto" w:fill="auto"/>
              <w:spacing w:line="360" w:lineRule="auto"/>
              <w:rPr>
                <w:rFonts w:hint="eastAsia" w:ascii="仿宋" w:hAnsi="仿宋" w:eastAsia="仿宋" w:cs="仿宋"/>
                <w:color w:val="000000"/>
                <w:sz w:val="24"/>
                <w:szCs w:val="22"/>
                <w:highlight w:val="none"/>
              </w:rPr>
            </w:pPr>
          </w:p>
          <w:p w14:paraId="7FBD7454">
            <w:pPr>
              <w:shd w:val="clear" w:color="auto" w:fill="auto"/>
              <w:spacing w:line="360" w:lineRule="auto"/>
              <w:rPr>
                <w:rFonts w:hint="eastAsia" w:ascii="仿宋" w:hAnsi="仿宋" w:eastAsia="仿宋" w:cs="仿宋"/>
                <w:color w:val="000000"/>
                <w:sz w:val="24"/>
                <w:szCs w:val="22"/>
                <w:highlight w:val="none"/>
              </w:rPr>
            </w:pPr>
          </w:p>
          <w:p w14:paraId="3CA53490">
            <w:pPr>
              <w:shd w:val="clear" w:color="auto" w:fill="auto"/>
              <w:spacing w:line="360" w:lineRule="auto"/>
              <w:rPr>
                <w:rFonts w:hint="eastAsia" w:ascii="仿宋" w:hAnsi="仿宋" w:eastAsia="仿宋" w:cs="仿宋"/>
                <w:color w:val="000000"/>
                <w:sz w:val="24"/>
                <w:szCs w:val="22"/>
                <w:highlight w:val="none"/>
              </w:rPr>
            </w:pPr>
          </w:p>
          <w:p w14:paraId="11F5B196">
            <w:pPr>
              <w:shd w:val="clear" w:color="auto" w:fill="auto"/>
              <w:spacing w:line="360" w:lineRule="auto"/>
              <w:rPr>
                <w:rFonts w:hint="eastAsia" w:ascii="仿宋" w:hAnsi="仿宋" w:eastAsia="仿宋" w:cs="仿宋"/>
                <w:color w:val="000000"/>
                <w:sz w:val="24"/>
                <w:szCs w:val="22"/>
                <w:highlight w:val="none"/>
              </w:rPr>
            </w:pPr>
          </w:p>
        </w:tc>
        <w:tc>
          <w:tcPr>
            <w:tcW w:w="1980" w:type="dxa"/>
            <w:noWrap w:val="0"/>
            <w:vAlign w:val="top"/>
          </w:tcPr>
          <w:p w14:paraId="5E4ACEF4">
            <w:pPr>
              <w:shd w:val="clear" w:color="auto" w:fill="auto"/>
              <w:spacing w:line="360" w:lineRule="auto"/>
              <w:rPr>
                <w:rFonts w:hint="eastAsia" w:ascii="仿宋" w:hAnsi="仿宋" w:eastAsia="仿宋" w:cs="仿宋"/>
                <w:color w:val="000000"/>
                <w:sz w:val="24"/>
                <w:szCs w:val="22"/>
                <w:highlight w:val="none"/>
              </w:rPr>
            </w:pPr>
          </w:p>
        </w:tc>
        <w:tc>
          <w:tcPr>
            <w:tcW w:w="5104" w:type="dxa"/>
            <w:noWrap w:val="0"/>
            <w:vAlign w:val="top"/>
          </w:tcPr>
          <w:p w14:paraId="71C92D66">
            <w:pPr>
              <w:shd w:val="clear" w:color="auto" w:fill="auto"/>
              <w:spacing w:line="360" w:lineRule="auto"/>
              <w:rPr>
                <w:rFonts w:hint="eastAsia" w:ascii="仿宋" w:hAnsi="仿宋" w:eastAsia="仿宋" w:cs="仿宋"/>
                <w:color w:val="000000"/>
                <w:sz w:val="24"/>
                <w:szCs w:val="22"/>
                <w:highlight w:val="none"/>
              </w:rPr>
            </w:pPr>
          </w:p>
        </w:tc>
      </w:tr>
    </w:tbl>
    <w:p w14:paraId="24A2304F">
      <w:pPr>
        <w:shd w:val="clear" w:color="auto" w:fill="auto"/>
        <w:spacing w:line="480" w:lineRule="auto"/>
        <w:rPr>
          <w:rFonts w:hint="eastAsia" w:ascii="仿宋" w:hAnsi="仿宋" w:eastAsia="仿宋" w:cs="仿宋"/>
          <w:b/>
          <w:bCs/>
          <w:color w:val="000000"/>
          <w:sz w:val="32"/>
          <w:szCs w:val="28"/>
          <w:highlight w:val="none"/>
        </w:rPr>
      </w:pPr>
    </w:p>
    <w:p w14:paraId="4D044878">
      <w:pPr>
        <w:numPr>
          <w:ilvl w:val="0"/>
          <w:numId w:val="0"/>
        </w:numPr>
        <w:shd w:val="clear" w:color="auto" w:fill="auto"/>
        <w:spacing w:line="48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lang w:val="en-US" w:eastAsia="zh-CN"/>
        </w:rPr>
        <w:t>六、</w:t>
      </w:r>
      <w:r>
        <w:rPr>
          <w:rFonts w:hint="eastAsia" w:ascii="仿宋" w:hAnsi="仿宋" w:eastAsia="仿宋" w:cs="仿宋"/>
          <w:b/>
          <w:bCs/>
          <w:color w:val="000000"/>
          <w:sz w:val="32"/>
          <w:szCs w:val="28"/>
          <w:highlight w:val="none"/>
        </w:rPr>
        <w:t>实习生考勤表</w:t>
      </w:r>
    </w:p>
    <w:p w14:paraId="61DC666E">
      <w:pPr>
        <w:shd w:val="clear" w:color="auto" w:fill="auto"/>
        <w:spacing w:line="480" w:lineRule="auto"/>
        <w:jc w:val="center"/>
        <w:rPr>
          <w:rFonts w:hint="eastAsia" w:ascii="仿宋" w:hAnsi="仿宋" w:eastAsia="仿宋" w:cs="仿宋"/>
          <w:b/>
          <w:bCs/>
          <w:color w:val="000000"/>
          <w:sz w:val="28"/>
          <w:szCs w:val="24"/>
          <w:highlight w:val="none"/>
        </w:rPr>
      </w:pPr>
      <w:r>
        <w:rPr>
          <w:rFonts w:hint="eastAsia" w:ascii="仿宋" w:hAnsi="仿宋" w:eastAsia="仿宋" w:cs="仿宋"/>
          <w:b/>
          <w:bCs/>
          <w:color w:val="000000"/>
          <w:sz w:val="28"/>
          <w:szCs w:val="24"/>
          <w:highlight w:val="none"/>
          <w:lang w:eastAsia="zh-CN"/>
        </w:rPr>
        <w:t>青海省青海湖生态保护基金会</w:t>
      </w:r>
      <w:r>
        <w:rPr>
          <w:rFonts w:hint="eastAsia" w:ascii="仿宋" w:hAnsi="仿宋" w:eastAsia="仿宋" w:cs="仿宋"/>
          <w:b/>
          <w:bCs/>
          <w:color w:val="000000"/>
          <w:sz w:val="28"/>
          <w:szCs w:val="24"/>
          <w:highlight w:val="none"/>
        </w:rPr>
        <w:t>实习生考勤表</w:t>
      </w:r>
    </w:p>
    <w:tbl>
      <w:tblPr>
        <w:tblStyle w:val="4"/>
        <w:tblpPr w:leftFromText="180" w:rightFromText="180" w:vertAnchor="text" w:horzAnchor="page" w:tblpX="1080" w:tblpY="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80"/>
        <w:gridCol w:w="5966"/>
        <w:gridCol w:w="1185"/>
        <w:gridCol w:w="1301"/>
      </w:tblGrid>
      <w:tr w14:paraId="5F25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77399EB6">
            <w:pPr>
              <w:shd w:val="clear" w:color="auto" w:fill="auto"/>
              <w:spacing w:line="288" w:lineRule="auto"/>
              <w:jc w:val="center"/>
              <w:rPr>
                <w:rFonts w:hint="eastAsia" w:ascii="仿宋" w:hAnsi="仿宋" w:eastAsia="仿宋" w:cs="仿宋"/>
                <w:b/>
                <w:bCs/>
                <w:color w:val="000000"/>
                <w:sz w:val="24"/>
                <w:szCs w:val="22"/>
                <w:highlight w:val="none"/>
              </w:rPr>
            </w:pPr>
            <w:r>
              <w:rPr>
                <w:rFonts w:hint="eastAsia" w:ascii="仿宋" w:hAnsi="仿宋" w:eastAsia="仿宋" w:cs="仿宋"/>
                <w:b/>
                <w:bCs/>
                <w:color w:val="000000"/>
                <w:sz w:val="24"/>
                <w:szCs w:val="22"/>
                <w:highlight w:val="none"/>
              </w:rPr>
              <w:t>日期</w:t>
            </w:r>
          </w:p>
        </w:tc>
        <w:tc>
          <w:tcPr>
            <w:tcW w:w="780" w:type="dxa"/>
            <w:noWrap w:val="0"/>
            <w:vAlign w:val="top"/>
          </w:tcPr>
          <w:p w14:paraId="1031C11C">
            <w:pPr>
              <w:shd w:val="clear" w:color="auto" w:fill="auto"/>
              <w:spacing w:line="288" w:lineRule="auto"/>
              <w:jc w:val="center"/>
              <w:rPr>
                <w:rFonts w:hint="eastAsia" w:ascii="仿宋" w:hAnsi="仿宋" w:eastAsia="仿宋" w:cs="仿宋"/>
                <w:b/>
                <w:bCs/>
                <w:color w:val="000000"/>
                <w:sz w:val="24"/>
                <w:szCs w:val="22"/>
                <w:highlight w:val="none"/>
              </w:rPr>
            </w:pPr>
            <w:r>
              <w:rPr>
                <w:rFonts w:hint="eastAsia" w:ascii="仿宋" w:hAnsi="仿宋" w:eastAsia="仿宋" w:cs="仿宋"/>
                <w:b/>
                <w:bCs/>
                <w:color w:val="000000"/>
                <w:sz w:val="24"/>
                <w:szCs w:val="22"/>
                <w:highlight w:val="none"/>
              </w:rPr>
              <w:t>星期</w:t>
            </w:r>
          </w:p>
        </w:tc>
        <w:tc>
          <w:tcPr>
            <w:tcW w:w="5966" w:type="dxa"/>
            <w:noWrap w:val="0"/>
            <w:vAlign w:val="top"/>
          </w:tcPr>
          <w:p w14:paraId="2C10AE22">
            <w:pPr>
              <w:shd w:val="clear" w:color="auto" w:fill="auto"/>
              <w:spacing w:line="288" w:lineRule="auto"/>
              <w:jc w:val="center"/>
              <w:rPr>
                <w:rFonts w:hint="eastAsia" w:ascii="仿宋" w:hAnsi="仿宋" w:eastAsia="仿宋" w:cs="仿宋"/>
                <w:b/>
                <w:bCs/>
                <w:color w:val="000000"/>
                <w:sz w:val="24"/>
                <w:szCs w:val="22"/>
                <w:highlight w:val="none"/>
              </w:rPr>
            </w:pPr>
            <w:r>
              <w:rPr>
                <w:rFonts w:hint="eastAsia" w:ascii="仿宋" w:hAnsi="仿宋" w:eastAsia="仿宋" w:cs="仿宋"/>
                <w:b/>
                <w:bCs/>
                <w:color w:val="000000"/>
                <w:sz w:val="24"/>
                <w:szCs w:val="22"/>
                <w:highlight w:val="none"/>
              </w:rPr>
              <w:t>实习内容</w:t>
            </w:r>
          </w:p>
        </w:tc>
        <w:tc>
          <w:tcPr>
            <w:tcW w:w="1185" w:type="dxa"/>
            <w:noWrap w:val="0"/>
            <w:vAlign w:val="top"/>
          </w:tcPr>
          <w:p w14:paraId="589837FD">
            <w:pPr>
              <w:shd w:val="clear" w:color="auto" w:fill="auto"/>
              <w:spacing w:line="288" w:lineRule="auto"/>
              <w:jc w:val="center"/>
              <w:rPr>
                <w:rFonts w:hint="eastAsia" w:ascii="仿宋" w:hAnsi="仿宋" w:eastAsia="仿宋" w:cs="仿宋"/>
                <w:b/>
                <w:bCs/>
                <w:color w:val="000000"/>
                <w:sz w:val="24"/>
                <w:szCs w:val="22"/>
                <w:highlight w:val="none"/>
              </w:rPr>
            </w:pPr>
            <w:r>
              <w:rPr>
                <w:rFonts w:hint="eastAsia" w:ascii="仿宋" w:hAnsi="仿宋" w:eastAsia="仿宋" w:cs="仿宋"/>
                <w:b/>
                <w:bCs/>
                <w:color w:val="000000"/>
                <w:sz w:val="24"/>
                <w:szCs w:val="22"/>
                <w:highlight w:val="none"/>
              </w:rPr>
              <w:t>上班时间</w:t>
            </w:r>
          </w:p>
        </w:tc>
        <w:tc>
          <w:tcPr>
            <w:tcW w:w="1301" w:type="dxa"/>
            <w:noWrap w:val="0"/>
            <w:vAlign w:val="top"/>
          </w:tcPr>
          <w:p w14:paraId="486BBE71">
            <w:pPr>
              <w:shd w:val="clear" w:color="auto" w:fill="auto"/>
              <w:spacing w:line="288" w:lineRule="auto"/>
              <w:jc w:val="center"/>
              <w:rPr>
                <w:rFonts w:hint="eastAsia" w:ascii="仿宋" w:hAnsi="仿宋" w:eastAsia="仿宋" w:cs="仿宋"/>
                <w:b/>
                <w:bCs/>
                <w:color w:val="000000"/>
                <w:sz w:val="24"/>
                <w:szCs w:val="22"/>
                <w:highlight w:val="none"/>
              </w:rPr>
            </w:pPr>
            <w:r>
              <w:rPr>
                <w:rFonts w:hint="eastAsia" w:ascii="仿宋" w:hAnsi="仿宋" w:eastAsia="仿宋" w:cs="仿宋"/>
                <w:b/>
                <w:bCs/>
                <w:color w:val="000000"/>
                <w:sz w:val="24"/>
                <w:szCs w:val="22"/>
                <w:highlight w:val="none"/>
              </w:rPr>
              <w:t>下班时间</w:t>
            </w:r>
          </w:p>
        </w:tc>
      </w:tr>
      <w:tr w14:paraId="78C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40C9D0E5">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1</w:t>
            </w:r>
          </w:p>
        </w:tc>
        <w:tc>
          <w:tcPr>
            <w:tcW w:w="780" w:type="dxa"/>
            <w:noWrap w:val="0"/>
            <w:vAlign w:val="top"/>
          </w:tcPr>
          <w:p w14:paraId="29BD7C9C">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49D5A492">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2AEB21C2">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1D021DE7">
            <w:pPr>
              <w:shd w:val="clear" w:color="auto" w:fill="auto"/>
              <w:spacing w:line="288" w:lineRule="auto"/>
              <w:rPr>
                <w:rFonts w:hint="eastAsia" w:ascii="仿宋" w:hAnsi="仿宋" w:eastAsia="仿宋" w:cs="仿宋"/>
                <w:color w:val="000000"/>
                <w:sz w:val="24"/>
                <w:szCs w:val="22"/>
                <w:highlight w:val="none"/>
              </w:rPr>
            </w:pPr>
          </w:p>
        </w:tc>
      </w:tr>
      <w:tr w14:paraId="7F35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79A17A23">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2</w:t>
            </w:r>
          </w:p>
        </w:tc>
        <w:tc>
          <w:tcPr>
            <w:tcW w:w="780" w:type="dxa"/>
            <w:noWrap w:val="0"/>
            <w:vAlign w:val="top"/>
          </w:tcPr>
          <w:p w14:paraId="1F687A35">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36F5027D">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592DA459">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3E404964">
            <w:pPr>
              <w:shd w:val="clear" w:color="auto" w:fill="auto"/>
              <w:spacing w:line="288" w:lineRule="auto"/>
              <w:rPr>
                <w:rFonts w:hint="eastAsia" w:ascii="仿宋" w:hAnsi="仿宋" w:eastAsia="仿宋" w:cs="仿宋"/>
                <w:color w:val="000000"/>
                <w:sz w:val="24"/>
                <w:szCs w:val="22"/>
                <w:highlight w:val="none"/>
              </w:rPr>
            </w:pPr>
          </w:p>
        </w:tc>
      </w:tr>
      <w:tr w14:paraId="2A91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7A145334">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3</w:t>
            </w:r>
          </w:p>
        </w:tc>
        <w:tc>
          <w:tcPr>
            <w:tcW w:w="780" w:type="dxa"/>
            <w:noWrap w:val="0"/>
            <w:vAlign w:val="top"/>
          </w:tcPr>
          <w:p w14:paraId="2B7397B4">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1D8EA113">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23701B2C">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0F9FA113">
            <w:pPr>
              <w:shd w:val="clear" w:color="auto" w:fill="auto"/>
              <w:spacing w:line="288" w:lineRule="auto"/>
              <w:rPr>
                <w:rFonts w:hint="eastAsia" w:ascii="仿宋" w:hAnsi="仿宋" w:eastAsia="仿宋" w:cs="仿宋"/>
                <w:color w:val="000000"/>
                <w:sz w:val="24"/>
                <w:szCs w:val="22"/>
                <w:highlight w:val="none"/>
              </w:rPr>
            </w:pPr>
          </w:p>
        </w:tc>
      </w:tr>
      <w:tr w14:paraId="2303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167317D4">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4</w:t>
            </w:r>
          </w:p>
        </w:tc>
        <w:tc>
          <w:tcPr>
            <w:tcW w:w="780" w:type="dxa"/>
            <w:noWrap w:val="0"/>
            <w:vAlign w:val="top"/>
          </w:tcPr>
          <w:p w14:paraId="34A238B6">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2E9FF918">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05C39EFE">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07A308CD">
            <w:pPr>
              <w:shd w:val="clear" w:color="auto" w:fill="auto"/>
              <w:spacing w:line="288" w:lineRule="auto"/>
              <w:rPr>
                <w:rFonts w:hint="eastAsia" w:ascii="仿宋" w:hAnsi="仿宋" w:eastAsia="仿宋" w:cs="仿宋"/>
                <w:color w:val="000000"/>
                <w:sz w:val="24"/>
                <w:szCs w:val="22"/>
                <w:highlight w:val="none"/>
              </w:rPr>
            </w:pPr>
          </w:p>
        </w:tc>
      </w:tr>
      <w:tr w14:paraId="3170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6F0814CA">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5</w:t>
            </w:r>
          </w:p>
        </w:tc>
        <w:tc>
          <w:tcPr>
            <w:tcW w:w="780" w:type="dxa"/>
            <w:noWrap w:val="0"/>
            <w:vAlign w:val="top"/>
          </w:tcPr>
          <w:p w14:paraId="7CB5231C">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23ADC333">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6FF045E7">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17F39ABD">
            <w:pPr>
              <w:shd w:val="clear" w:color="auto" w:fill="auto"/>
              <w:spacing w:line="288" w:lineRule="auto"/>
              <w:rPr>
                <w:rFonts w:hint="eastAsia" w:ascii="仿宋" w:hAnsi="仿宋" w:eastAsia="仿宋" w:cs="仿宋"/>
                <w:color w:val="000000"/>
                <w:sz w:val="24"/>
                <w:szCs w:val="22"/>
                <w:highlight w:val="none"/>
              </w:rPr>
            </w:pPr>
          </w:p>
        </w:tc>
      </w:tr>
      <w:tr w14:paraId="4DED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3EA102D8">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6</w:t>
            </w:r>
          </w:p>
        </w:tc>
        <w:tc>
          <w:tcPr>
            <w:tcW w:w="780" w:type="dxa"/>
            <w:noWrap w:val="0"/>
            <w:vAlign w:val="top"/>
          </w:tcPr>
          <w:p w14:paraId="08F187E0">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0147C093">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61BACB05">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21A5DCF9">
            <w:pPr>
              <w:shd w:val="clear" w:color="auto" w:fill="auto"/>
              <w:spacing w:line="288" w:lineRule="auto"/>
              <w:rPr>
                <w:rFonts w:hint="eastAsia" w:ascii="仿宋" w:hAnsi="仿宋" w:eastAsia="仿宋" w:cs="仿宋"/>
                <w:color w:val="000000"/>
                <w:sz w:val="24"/>
                <w:szCs w:val="22"/>
                <w:highlight w:val="none"/>
              </w:rPr>
            </w:pPr>
          </w:p>
        </w:tc>
      </w:tr>
      <w:tr w14:paraId="341D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5" w:type="dxa"/>
            <w:noWrap w:val="0"/>
            <w:vAlign w:val="top"/>
          </w:tcPr>
          <w:p w14:paraId="19BAD23B">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7</w:t>
            </w:r>
          </w:p>
        </w:tc>
        <w:tc>
          <w:tcPr>
            <w:tcW w:w="780" w:type="dxa"/>
            <w:noWrap w:val="0"/>
            <w:vAlign w:val="top"/>
          </w:tcPr>
          <w:p w14:paraId="5FFFEBCD">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48533145">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55F35D4A">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4F64CA1B">
            <w:pPr>
              <w:shd w:val="clear" w:color="auto" w:fill="auto"/>
              <w:spacing w:line="288" w:lineRule="auto"/>
              <w:rPr>
                <w:rFonts w:hint="eastAsia" w:ascii="仿宋" w:hAnsi="仿宋" w:eastAsia="仿宋" w:cs="仿宋"/>
                <w:color w:val="000000"/>
                <w:sz w:val="24"/>
                <w:szCs w:val="22"/>
                <w:highlight w:val="none"/>
              </w:rPr>
            </w:pPr>
          </w:p>
        </w:tc>
      </w:tr>
      <w:tr w14:paraId="4383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7F8DF8BE">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8</w:t>
            </w:r>
          </w:p>
        </w:tc>
        <w:tc>
          <w:tcPr>
            <w:tcW w:w="780" w:type="dxa"/>
            <w:noWrap w:val="0"/>
            <w:vAlign w:val="top"/>
          </w:tcPr>
          <w:p w14:paraId="3B7F1888">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59DE39E9">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55E521E2">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3E6C7F40">
            <w:pPr>
              <w:shd w:val="clear" w:color="auto" w:fill="auto"/>
              <w:spacing w:line="288" w:lineRule="auto"/>
              <w:rPr>
                <w:rFonts w:hint="eastAsia" w:ascii="仿宋" w:hAnsi="仿宋" w:eastAsia="仿宋" w:cs="仿宋"/>
                <w:color w:val="000000"/>
                <w:sz w:val="24"/>
                <w:szCs w:val="22"/>
                <w:highlight w:val="none"/>
              </w:rPr>
            </w:pPr>
          </w:p>
        </w:tc>
      </w:tr>
      <w:tr w14:paraId="3503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7622EBFF">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9</w:t>
            </w:r>
          </w:p>
        </w:tc>
        <w:tc>
          <w:tcPr>
            <w:tcW w:w="780" w:type="dxa"/>
            <w:noWrap w:val="0"/>
            <w:vAlign w:val="top"/>
          </w:tcPr>
          <w:p w14:paraId="75678B0E">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232CF4C0">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1B965C27">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169646A2">
            <w:pPr>
              <w:shd w:val="clear" w:color="auto" w:fill="auto"/>
              <w:spacing w:line="288" w:lineRule="auto"/>
              <w:rPr>
                <w:rFonts w:hint="eastAsia" w:ascii="仿宋" w:hAnsi="仿宋" w:eastAsia="仿宋" w:cs="仿宋"/>
                <w:color w:val="000000"/>
                <w:sz w:val="24"/>
                <w:szCs w:val="22"/>
                <w:highlight w:val="none"/>
              </w:rPr>
            </w:pPr>
          </w:p>
        </w:tc>
      </w:tr>
      <w:tr w14:paraId="0572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039B53EB">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10</w:t>
            </w:r>
          </w:p>
        </w:tc>
        <w:tc>
          <w:tcPr>
            <w:tcW w:w="780" w:type="dxa"/>
            <w:noWrap w:val="0"/>
            <w:vAlign w:val="top"/>
          </w:tcPr>
          <w:p w14:paraId="1EDD0EDD">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654BA40E">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0C85E01D">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5664CC1E">
            <w:pPr>
              <w:shd w:val="clear" w:color="auto" w:fill="auto"/>
              <w:spacing w:line="288" w:lineRule="auto"/>
              <w:rPr>
                <w:rFonts w:hint="eastAsia" w:ascii="仿宋" w:hAnsi="仿宋" w:eastAsia="仿宋" w:cs="仿宋"/>
                <w:color w:val="000000"/>
                <w:sz w:val="24"/>
                <w:szCs w:val="22"/>
                <w:highlight w:val="none"/>
              </w:rPr>
            </w:pPr>
          </w:p>
        </w:tc>
      </w:tr>
      <w:tr w14:paraId="7A03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287A0D87">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11</w:t>
            </w:r>
          </w:p>
        </w:tc>
        <w:tc>
          <w:tcPr>
            <w:tcW w:w="780" w:type="dxa"/>
            <w:noWrap w:val="0"/>
            <w:vAlign w:val="top"/>
          </w:tcPr>
          <w:p w14:paraId="29507306">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4FCAF123">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3BF68143">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5ED44378">
            <w:pPr>
              <w:shd w:val="clear" w:color="auto" w:fill="auto"/>
              <w:spacing w:line="288" w:lineRule="auto"/>
              <w:rPr>
                <w:rFonts w:hint="eastAsia" w:ascii="仿宋" w:hAnsi="仿宋" w:eastAsia="仿宋" w:cs="仿宋"/>
                <w:color w:val="000000"/>
                <w:sz w:val="24"/>
                <w:szCs w:val="22"/>
                <w:highlight w:val="none"/>
              </w:rPr>
            </w:pPr>
          </w:p>
        </w:tc>
      </w:tr>
      <w:tr w14:paraId="0E7B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63512791">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12</w:t>
            </w:r>
          </w:p>
        </w:tc>
        <w:tc>
          <w:tcPr>
            <w:tcW w:w="780" w:type="dxa"/>
            <w:noWrap w:val="0"/>
            <w:vAlign w:val="top"/>
          </w:tcPr>
          <w:p w14:paraId="33549C5B">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3D6B9F25">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70F235A4">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1552D3AF">
            <w:pPr>
              <w:shd w:val="clear" w:color="auto" w:fill="auto"/>
              <w:spacing w:line="288" w:lineRule="auto"/>
              <w:rPr>
                <w:rFonts w:hint="eastAsia" w:ascii="仿宋" w:hAnsi="仿宋" w:eastAsia="仿宋" w:cs="仿宋"/>
                <w:color w:val="000000"/>
                <w:sz w:val="24"/>
                <w:szCs w:val="22"/>
                <w:highlight w:val="none"/>
              </w:rPr>
            </w:pPr>
          </w:p>
        </w:tc>
      </w:tr>
      <w:tr w14:paraId="0881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3E6248B6">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13</w:t>
            </w:r>
          </w:p>
        </w:tc>
        <w:tc>
          <w:tcPr>
            <w:tcW w:w="780" w:type="dxa"/>
            <w:noWrap w:val="0"/>
            <w:vAlign w:val="top"/>
          </w:tcPr>
          <w:p w14:paraId="1202CF03">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0901220F">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73075D90">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6CB97A16">
            <w:pPr>
              <w:shd w:val="clear" w:color="auto" w:fill="auto"/>
              <w:spacing w:line="288" w:lineRule="auto"/>
              <w:rPr>
                <w:rFonts w:hint="eastAsia" w:ascii="仿宋" w:hAnsi="仿宋" w:eastAsia="仿宋" w:cs="仿宋"/>
                <w:color w:val="000000"/>
                <w:sz w:val="24"/>
                <w:szCs w:val="22"/>
                <w:highlight w:val="none"/>
              </w:rPr>
            </w:pPr>
          </w:p>
        </w:tc>
      </w:tr>
      <w:tr w14:paraId="6B74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6FF745BD">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14</w:t>
            </w:r>
          </w:p>
        </w:tc>
        <w:tc>
          <w:tcPr>
            <w:tcW w:w="780" w:type="dxa"/>
            <w:noWrap w:val="0"/>
            <w:vAlign w:val="top"/>
          </w:tcPr>
          <w:p w14:paraId="7E583EBE">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2D2E3FC7">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6C11703D">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3322D417">
            <w:pPr>
              <w:shd w:val="clear" w:color="auto" w:fill="auto"/>
              <w:spacing w:line="288" w:lineRule="auto"/>
              <w:rPr>
                <w:rFonts w:hint="eastAsia" w:ascii="仿宋" w:hAnsi="仿宋" w:eastAsia="仿宋" w:cs="仿宋"/>
                <w:color w:val="000000"/>
                <w:sz w:val="24"/>
                <w:szCs w:val="22"/>
                <w:highlight w:val="none"/>
              </w:rPr>
            </w:pPr>
          </w:p>
        </w:tc>
      </w:tr>
      <w:tr w14:paraId="25B8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4F98892D">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15</w:t>
            </w:r>
          </w:p>
        </w:tc>
        <w:tc>
          <w:tcPr>
            <w:tcW w:w="780" w:type="dxa"/>
            <w:noWrap w:val="0"/>
            <w:vAlign w:val="top"/>
          </w:tcPr>
          <w:p w14:paraId="62CA82D3">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0D8B77D5">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40F29B9D">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7C76E895">
            <w:pPr>
              <w:shd w:val="clear" w:color="auto" w:fill="auto"/>
              <w:spacing w:line="288" w:lineRule="auto"/>
              <w:rPr>
                <w:rFonts w:hint="eastAsia" w:ascii="仿宋" w:hAnsi="仿宋" w:eastAsia="仿宋" w:cs="仿宋"/>
                <w:color w:val="000000"/>
                <w:sz w:val="24"/>
                <w:szCs w:val="22"/>
                <w:highlight w:val="none"/>
              </w:rPr>
            </w:pPr>
          </w:p>
        </w:tc>
      </w:tr>
      <w:tr w14:paraId="0EE7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70D26DC5">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16</w:t>
            </w:r>
          </w:p>
        </w:tc>
        <w:tc>
          <w:tcPr>
            <w:tcW w:w="780" w:type="dxa"/>
            <w:noWrap w:val="0"/>
            <w:vAlign w:val="top"/>
          </w:tcPr>
          <w:p w14:paraId="23F4543D">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2EA31DC9">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41363FD6">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57642F31">
            <w:pPr>
              <w:shd w:val="clear" w:color="auto" w:fill="auto"/>
              <w:spacing w:line="288" w:lineRule="auto"/>
              <w:rPr>
                <w:rFonts w:hint="eastAsia" w:ascii="仿宋" w:hAnsi="仿宋" w:eastAsia="仿宋" w:cs="仿宋"/>
                <w:color w:val="000000"/>
                <w:sz w:val="24"/>
                <w:szCs w:val="22"/>
                <w:highlight w:val="none"/>
              </w:rPr>
            </w:pPr>
          </w:p>
        </w:tc>
      </w:tr>
      <w:tr w14:paraId="0F95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77027029">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17</w:t>
            </w:r>
          </w:p>
        </w:tc>
        <w:tc>
          <w:tcPr>
            <w:tcW w:w="780" w:type="dxa"/>
            <w:noWrap w:val="0"/>
            <w:vAlign w:val="top"/>
          </w:tcPr>
          <w:p w14:paraId="6444ABAD">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02EB6349">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78DA7B7C">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33785F1D">
            <w:pPr>
              <w:shd w:val="clear" w:color="auto" w:fill="auto"/>
              <w:spacing w:line="288" w:lineRule="auto"/>
              <w:rPr>
                <w:rFonts w:hint="eastAsia" w:ascii="仿宋" w:hAnsi="仿宋" w:eastAsia="仿宋" w:cs="仿宋"/>
                <w:color w:val="000000"/>
                <w:sz w:val="24"/>
                <w:szCs w:val="22"/>
                <w:highlight w:val="none"/>
              </w:rPr>
            </w:pPr>
          </w:p>
        </w:tc>
      </w:tr>
      <w:tr w14:paraId="5F3C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4AA761E5">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18</w:t>
            </w:r>
          </w:p>
        </w:tc>
        <w:tc>
          <w:tcPr>
            <w:tcW w:w="780" w:type="dxa"/>
            <w:noWrap w:val="0"/>
            <w:vAlign w:val="top"/>
          </w:tcPr>
          <w:p w14:paraId="4BF53A5B">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2211A1AD">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1BCE8D58">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2F85CCBB">
            <w:pPr>
              <w:shd w:val="clear" w:color="auto" w:fill="auto"/>
              <w:spacing w:line="288" w:lineRule="auto"/>
              <w:rPr>
                <w:rFonts w:hint="eastAsia" w:ascii="仿宋" w:hAnsi="仿宋" w:eastAsia="仿宋" w:cs="仿宋"/>
                <w:color w:val="000000"/>
                <w:sz w:val="24"/>
                <w:szCs w:val="22"/>
                <w:highlight w:val="none"/>
              </w:rPr>
            </w:pPr>
          </w:p>
        </w:tc>
      </w:tr>
      <w:tr w14:paraId="4BCE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46B900B5">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19</w:t>
            </w:r>
          </w:p>
        </w:tc>
        <w:tc>
          <w:tcPr>
            <w:tcW w:w="780" w:type="dxa"/>
            <w:noWrap w:val="0"/>
            <w:vAlign w:val="top"/>
          </w:tcPr>
          <w:p w14:paraId="082D148A">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13B20835">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53AEBF1E">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2BEF7B8B">
            <w:pPr>
              <w:shd w:val="clear" w:color="auto" w:fill="auto"/>
              <w:spacing w:line="288" w:lineRule="auto"/>
              <w:rPr>
                <w:rFonts w:hint="eastAsia" w:ascii="仿宋" w:hAnsi="仿宋" w:eastAsia="仿宋" w:cs="仿宋"/>
                <w:color w:val="000000"/>
                <w:sz w:val="24"/>
                <w:szCs w:val="22"/>
                <w:highlight w:val="none"/>
              </w:rPr>
            </w:pPr>
          </w:p>
        </w:tc>
      </w:tr>
      <w:tr w14:paraId="1FD97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7FCB12BD">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20</w:t>
            </w:r>
          </w:p>
        </w:tc>
        <w:tc>
          <w:tcPr>
            <w:tcW w:w="780" w:type="dxa"/>
            <w:noWrap w:val="0"/>
            <w:vAlign w:val="top"/>
          </w:tcPr>
          <w:p w14:paraId="1C3E845E">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53572F67">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7A37D8E2">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1AEC870C">
            <w:pPr>
              <w:shd w:val="clear" w:color="auto" w:fill="auto"/>
              <w:spacing w:line="288" w:lineRule="auto"/>
              <w:rPr>
                <w:rFonts w:hint="eastAsia" w:ascii="仿宋" w:hAnsi="仿宋" w:eastAsia="仿宋" w:cs="仿宋"/>
                <w:color w:val="000000"/>
                <w:sz w:val="24"/>
                <w:szCs w:val="22"/>
                <w:highlight w:val="none"/>
              </w:rPr>
            </w:pPr>
          </w:p>
        </w:tc>
      </w:tr>
      <w:tr w14:paraId="6A64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05E452F9">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21</w:t>
            </w:r>
          </w:p>
        </w:tc>
        <w:tc>
          <w:tcPr>
            <w:tcW w:w="780" w:type="dxa"/>
            <w:noWrap w:val="0"/>
            <w:vAlign w:val="top"/>
          </w:tcPr>
          <w:p w14:paraId="6F05E4A7">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405B5950">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26D6A351">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4B4D695B">
            <w:pPr>
              <w:shd w:val="clear" w:color="auto" w:fill="auto"/>
              <w:spacing w:line="288" w:lineRule="auto"/>
              <w:rPr>
                <w:rFonts w:hint="eastAsia" w:ascii="仿宋" w:hAnsi="仿宋" w:eastAsia="仿宋" w:cs="仿宋"/>
                <w:color w:val="000000"/>
                <w:sz w:val="24"/>
                <w:szCs w:val="22"/>
                <w:highlight w:val="none"/>
              </w:rPr>
            </w:pPr>
          </w:p>
        </w:tc>
      </w:tr>
      <w:tr w14:paraId="3ED9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74A4813A">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22</w:t>
            </w:r>
          </w:p>
        </w:tc>
        <w:tc>
          <w:tcPr>
            <w:tcW w:w="780" w:type="dxa"/>
            <w:noWrap w:val="0"/>
            <w:vAlign w:val="top"/>
          </w:tcPr>
          <w:p w14:paraId="59FE8788">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7963DBB1">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72415F60">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51E7DB29">
            <w:pPr>
              <w:shd w:val="clear" w:color="auto" w:fill="auto"/>
              <w:spacing w:line="288" w:lineRule="auto"/>
              <w:rPr>
                <w:rFonts w:hint="eastAsia" w:ascii="仿宋" w:hAnsi="仿宋" w:eastAsia="仿宋" w:cs="仿宋"/>
                <w:color w:val="000000"/>
                <w:sz w:val="24"/>
                <w:szCs w:val="22"/>
                <w:highlight w:val="none"/>
              </w:rPr>
            </w:pPr>
          </w:p>
        </w:tc>
      </w:tr>
      <w:tr w14:paraId="0E46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4F92A2AA">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23</w:t>
            </w:r>
          </w:p>
        </w:tc>
        <w:tc>
          <w:tcPr>
            <w:tcW w:w="780" w:type="dxa"/>
            <w:noWrap w:val="0"/>
            <w:vAlign w:val="top"/>
          </w:tcPr>
          <w:p w14:paraId="0BC4B3A0">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62A3E848">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01113096">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517B50CC">
            <w:pPr>
              <w:shd w:val="clear" w:color="auto" w:fill="auto"/>
              <w:spacing w:line="288" w:lineRule="auto"/>
              <w:rPr>
                <w:rFonts w:hint="eastAsia" w:ascii="仿宋" w:hAnsi="仿宋" w:eastAsia="仿宋" w:cs="仿宋"/>
                <w:color w:val="000000"/>
                <w:sz w:val="24"/>
                <w:szCs w:val="22"/>
                <w:highlight w:val="none"/>
              </w:rPr>
            </w:pPr>
          </w:p>
        </w:tc>
      </w:tr>
      <w:tr w14:paraId="3ADB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0D55C907">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24</w:t>
            </w:r>
          </w:p>
        </w:tc>
        <w:tc>
          <w:tcPr>
            <w:tcW w:w="780" w:type="dxa"/>
            <w:noWrap w:val="0"/>
            <w:vAlign w:val="top"/>
          </w:tcPr>
          <w:p w14:paraId="6AB76716">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331DD870">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0E034795">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6704C3EC">
            <w:pPr>
              <w:shd w:val="clear" w:color="auto" w:fill="auto"/>
              <w:spacing w:line="288" w:lineRule="auto"/>
              <w:rPr>
                <w:rFonts w:hint="eastAsia" w:ascii="仿宋" w:hAnsi="仿宋" w:eastAsia="仿宋" w:cs="仿宋"/>
                <w:color w:val="000000"/>
                <w:sz w:val="24"/>
                <w:szCs w:val="22"/>
                <w:highlight w:val="none"/>
              </w:rPr>
            </w:pPr>
          </w:p>
        </w:tc>
      </w:tr>
      <w:tr w14:paraId="3102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6DD1512F">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25</w:t>
            </w:r>
          </w:p>
        </w:tc>
        <w:tc>
          <w:tcPr>
            <w:tcW w:w="780" w:type="dxa"/>
            <w:noWrap w:val="0"/>
            <w:vAlign w:val="top"/>
          </w:tcPr>
          <w:p w14:paraId="6DCD91FA">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62E8717C">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77520D9C">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3D2BF67B">
            <w:pPr>
              <w:shd w:val="clear" w:color="auto" w:fill="auto"/>
              <w:spacing w:line="288" w:lineRule="auto"/>
              <w:rPr>
                <w:rFonts w:hint="eastAsia" w:ascii="仿宋" w:hAnsi="仿宋" w:eastAsia="仿宋" w:cs="仿宋"/>
                <w:color w:val="000000"/>
                <w:sz w:val="24"/>
                <w:szCs w:val="22"/>
                <w:highlight w:val="none"/>
              </w:rPr>
            </w:pPr>
          </w:p>
        </w:tc>
      </w:tr>
      <w:tr w14:paraId="5089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1FC081B7">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26</w:t>
            </w:r>
          </w:p>
        </w:tc>
        <w:tc>
          <w:tcPr>
            <w:tcW w:w="780" w:type="dxa"/>
            <w:noWrap w:val="0"/>
            <w:vAlign w:val="top"/>
          </w:tcPr>
          <w:p w14:paraId="3880EF04">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62A68B23">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1A9F91A1">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59EBB08A">
            <w:pPr>
              <w:shd w:val="clear" w:color="auto" w:fill="auto"/>
              <w:spacing w:line="288" w:lineRule="auto"/>
              <w:rPr>
                <w:rFonts w:hint="eastAsia" w:ascii="仿宋" w:hAnsi="仿宋" w:eastAsia="仿宋" w:cs="仿宋"/>
                <w:color w:val="000000"/>
                <w:sz w:val="24"/>
                <w:szCs w:val="22"/>
                <w:highlight w:val="none"/>
              </w:rPr>
            </w:pPr>
          </w:p>
        </w:tc>
      </w:tr>
      <w:tr w14:paraId="1D05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33CA8DCD">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27</w:t>
            </w:r>
          </w:p>
        </w:tc>
        <w:tc>
          <w:tcPr>
            <w:tcW w:w="780" w:type="dxa"/>
            <w:noWrap w:val="0"/>
            <w:vAlign w:val="top"/>
          </w:tcPr>
          <w:p w14:paraId="48AACE6A">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6E223D5B">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1A2B47AB">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54A19912">
            <w:pPr>
              <w:shd w:val="clear" w:color="auto" w:fill="auto"/>
              <w:spacing w:line="288" w:lineRule="auto"/>
              <w:rPr>
                <w:rFonts w:hint="eastAsia" w:ascii="仿宋" w:hAnsi="仿宋" w:eastAsia="仿宋" w:cs="仿宋"/>
                <w:color w:val="000000"/>
                <w:sz w:val="24"/>
                <w:szCs w:val="22"/>
                <w:highlight w:val="none"/>
              </w:rPr>
            </w:pPr>
          </w:p>
        </w:tc>
      </w:tr>
      <w:tr w14:paraId="042C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6E1FF051">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28</w:t>
            </w:r>
          </w:p>
        </w:tc>
        <w:tc>
          <w:tcPr>
            <w:tcW w:w="780" w:type="dxa"/>
            <w:noWrap w:val="0"/>
            <w:vAlign w:val="top"/>
          </w:tcPr>
          <w:p w14:paraId="22A74AD5">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1D29D62E">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7C7E5DB3">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2BD4CE49">
            <w:pPr>
              <w:shd w:val="clear" w:color="auto" w:fill="auto"/>
              <w:spacing w:line="288" w:lineRule="auto"/>
              <w:rPr>
                <w:rFonts w:hint="eastAsia" w:ascii="仿宋" w:hAnsi="仿宋" w:eastAsia="仿宋" w:cs="仿宋"/>
                <w:color w:val="000000"/>
                <w:sz w:val="24"/>
                <w:szCs w:val="22"/>
                <w:highlight w:val="none"/>
              </w:rPr>
            </w:pPr>
          </w:p>
        </w:tc>
      </w:tr>
      <w:tr w14:paraId="1618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32B56A76">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29</w:t>
            </w:r>
          </w:p>
        </w:tc>
        <w:tc>
          <w:tcPr>
            <w:tcW w:w="780" w:type="dxa"/>
            <w:noWrap w:val="0"/>
            <w:vAlign w:val="top"/>
          </w:tcPr>
          <w:p w14:paraId="313AB213">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579A84B0">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709C42EA">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1C87CBC8">
            <w:pPr>
              <w:shd w:val="clear" w:color="auto" w:fill="auto"/>
              <w:spacing w:line="288" w:lineRule="auto"/>
              <w:rPr>
                <w:rFonts w:hint="eastAsia" w:ascii="仿宋" w:hAnsi="仿宋" w:eastAsia="仿宋" w:cs="仿宋"/>
                <w:color w:val="000000"/>
                <w:sz w:val="24"/>
                <w:szCs w:val="22"/>
                <w:highlight w:val="none"/>
              </w:rPr>
            </w:pPr>
          </w:p>
        </w:tc>
      </w:tr>
      <w:tr w14:paraId="15B3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top"/>
          </w:tcPr>
          <w:p w14:paraId="7C23C119">
            <w:pPr>
              <w:shd w:val="clear" w:color="auto" w:fill="auto"/>
              <w:spacing w:line="288" w:lineRule="auto"/>
              <w:jc w:val="center"/>
              <w:rPr>
                <w:rFonts w:hint="eastAsia" w:ascii="仿宋" w:hAnsi="仿宋" w:eastAsia="仿宋" w:cs="仿宋"/>
                <w:color w:val="000000"/>
                <w:sz w:val="24"/>
                <w:szCs w:val="22"/>
                <w:highlight w:val="none"/>
              </w:rPr>
            </w:pPr>
            <w:r>
              <w:rPr>
                <w:rFonts w:hint="eastAsia" w:ascii="仿宋" w:hAnsi="仿宋" w:eastAsia="仿宋" w:cs="仿宋"/>
                <w:color w:val="000000"/>
                <w:sz w:val="24"/>
                <w:szCs w:val="22"/>
                <w:highlight w:val="none"/>
              </w:rPr>
              <w:t>30</w:t>
            </w:r>
          </w:p>
        </w:tc>
        <w:tc>
          <w:tcPr>
            <w:tcW w:w="780" w:type="dxa"/>
            <w:noWrap w:val="0"/>
            <w:vAlign w:val="top"/>
          </w:tcPr>
          <w:p w14:paraId="394C6905">
            <w:pPr>
              <w:shd w:val="clear" w:color="auto" w:fill="auto"/>
              <w:spacing w:line="288" w:lineRule="auto"/>
              <w:jc w:val="center"/>
              <w:rPr>
                <w:rFonts w:hint="eastAsia" w:ascii="仿宋" w:hAnsi="仿宋" w:eastAsia="仿宋" w:cs="仿宋"/>
                <w:color w:val="000000"/>
                <w:sz w:val="24"/>
                <w:szCs w:val="22"/>
                <w:highlight w:val="none"/>
              </w:rPr>
            </w:pPr>
          </w:p>
        </w:tc>
        <w:tc>
          <w:tcPr>
            <w:tcW w:w="5966" w:type="dxa"/>
            <w:noWrap w:val="0"/>
            <w:vAlign w:val="top"/>
          </w:tcPr>
          <w:p w14:paraId="469B14C4">
            <w:pPr>
              <w:shd w:val="clear" w:color="auto" w:fill="auto"/>
              <w:spacing w:line="288" w:lineRule="auto"/>
              <w:rPr>
                <w:rFonts w:hint="eastAsia" w:ascii="仿宋" w:hAnsi="仿宋" w:eastAsia="仿宋" w:cs="仿宋"/>
                <w:color w:val="000000"/>
                <w:sz w:val="24"/>
                <w:szCs w:val="22"/>
                <w:highlight w:val="none"/>
              </w:rPr>
            </w:pPr>
          </w:p>
        </w:tc>
        <w:tc>
          <w:tcPr>
            <w:tcW w:w="1185" w:type="dxa"/>
            <w:noWrap w:val="0"/>
            <w:vAlign w:val="top"/>
          </w:tcPr>
          <w:p w14:paraId="79D550C5">
            <w:pPr>
              <w:shd w:val="clear" w:color="auto" w:fill="auto"/>
              <w:spacing w:line="288" w:lineRule="auto"/>
              <w:rPr>
                <w:rFonts w:hint="eastAsia" w:ascii="仿宋" w:hAnsi="仿宋" w:eastAsia="仿宋" w:cs="仿宋"/>
                <w:color w:val="000000"/>
                <w:sz w:val="24"/>
                <w:szCs w:val="22"/>
                <w:highlight w:val="none"/>
              </w:rPr>
            </w:pPr>
          </w:p>
        </w:tc>
        <w:tc>
          <w:tcPr>
            <w:tcW w:w="1301" w:type="dxa"/>
            <w:noWrap w:val="0"/>
            <w:vAlign w:val="top"/>
          </w:tcPr>
          <w:p w14:paraId="0B623987">
            <w:pPr>
              <w:shd w:val="clear" w:color="auto" w:fill="auto"/>
              <w:spacing w:line="288" w:lineRule="auto"/>
              <w:rPr>
                <w:rFonts w:hint="eastAsia" w:ascii="仿宋" w:hAnsi="仿宋" w:eastAsia="仿宋" w:cs="仿宋"/>
                <w:color w:val="000000"/>
                <w:sz w:val="24"/>
                <w:szCs w:val="22"/>
                <w:highlight w:val="none"/>
              </w:rPr>
            </w:pPr>
          </w:p>
        </w:tc>
      </w:tr>
    </w:tbl>
    <w:p w14:paraId="2E90A4C3">
      <w:pPr>
        <w:shd w:val="clear" w:color="auto" w:fill="auto"/>
        <w:spacing w:line="480" w:lineRule="auto"/>
        <w:rPr>
          <w:rFonts w:hint="eastAsia" w:ascii="仿宋" w:hAnsi="仿宋" w:eastAsia="仿宋" w:cs="仿宋"/>
          <w:b/>
          <w:bCs/>
          <w:color w:val="000000"/>
          <w:sz w:val="32"/>
          <w:szCs w:val="28"/>
          <w:highlight w:val="none"/>
        </w:rPr>
      </w:pPr>
    </w:p>
    <w:p w14:paraId="3649AB3E">
      <w:pPr>
        <w:numPr>
          <w:ilvl w:val="0"/>
          <w:numId w:val="0"/>
        </w:numPr>
        <w:shd w:val="clear" w:color="auto" w:fill="auto"/>
        <w:spacing w:line="48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lang w:val="en-US" w:eastAsia="zh-CN"/>
        </w:rPr>
        <w:t>七、</w:t>
      </w:r>
      <w:r>
        <w:rPr>
          <w:rFonts w:hint="eastAsia" w:ascii="仿宋" w:hAnsi="仿宋" w:eastAsia="仿宋" w:cs="仿宋"/>
          <w:b/>
          <w:bCs/>
          <w:color w:val="000000"/>
          <w:sz w:val="32"/>
          <w:szCs w:val="28"/>
          <w:highlight w:val="none"/>
        </w:rPr>
        <w:t>实习周志</w:t>
      </w:r>
    </w:p>
    <w:p w14:paraId="6A5AA05B">
      <w:pPr>
        <w:shd w:val="clear" w:color="auto" w:fill="auto"/>
        <w:spacing w:line="480" w:lineRule="auto"/>
        <w:jc w:val="center"/>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lang w:eastAsia="zh-CN"/>
        </w:rPr>
        <w:t>青海省青海湖生态保护基金会</w:t>
      </w:r>
      <w:r>
        <w:rPr>
          <w:rFonts w:hint="eastAsia" w:ascii="仿宋" w:hAnsi="仿宋" w:eastAsia="仿宋" w:cs="仿宋"/>
          <w:b/>
          <w:bCs/>
          <w:color w:val="000000"/>
          <w:sz w:val="32"/>
          <w:szCs w:val="28"/>
          <w:highlight w:val="none"/>
        </w:rPr>
        <w:t>实习周志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96"/>
        <w:gridCol w:w="1034"/>
        <w:gridCol w:w="1806"/>
        <w:gridCol w:w="1089"/>
        <w:gridCol w:w="1753"/>
      </w:tblGrid>
      <w:tr w14:paraId="7939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4" w:type="dxa"/>
            <w:noWrap w:val="0"/>
            <w:vAlign w:val="top"/>
          </w:tcPr>
          <w:p w14:paraId="268E43B0">
            <w:pPr>
              <w:shd w:val="clear" w:color="auto" w:fill="auto"/>
              <w:spacing w:line="36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项目点</w:t>
            </w:r>
          </w:p>
        </w:tc>
        <w:tc>
          <w:tcPr>
            <w:tcW w:w="1696" w:type="dxa"/>
            <w:noWrap w:val="0"/>
            <w:vAlign w:val="top"/>
          </w:tcPr>
          <w:p w14:paraId="7C010A89">
            <w:pPr>
              <w:shd w:val="clear" w:color="auto" w:fill="auto"/>
              <w:spacing w:line="360" w:lineRule="auto"/>
              <w:jc w:val="center"/>
              <w:rPr>
                <w:rFonts w:hint="eastAsia" w:ascii="仿宋" w:hAnsi="仿宋" w:eastAsia="仿宋" w:cs="仿宋"/>
                <w:b/>
                <w:color w:val="000000"/>
                <w:sz w:val="24"/>
                <w:szCs w:val="24"/>
                <w:highlight w:val="none"/>
              </w:rPr>
            </w:pPr>
          </w:p>
        </w:tc>
        <w:tc>
          <w:tcPr>
            <w:tcW w:w="1034" w:type="dxa"/>
            <w:noWrap w:val="0"/>
            <w:vAlign w:val="top"/>
          </w:tcPr>
          <w:p w14:paraId="524CC8C7">
            <w:pPr>
              <w:shd w:val="clear" w:color="auto" w:fill="auto"/>
              <w:spacing w:line="36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姓 名</w:t>
            </w:r>
          </w:p>
        </w:tc>
        <w:tc>
          <w:tcPr>
            <w:tcW w:w="1806" w:type="dxa"/>
            <w:noWrap w:val="0"/>
            <w:vAlign w:val="top"/>
          </w:tcPr>
          <w:p w14:paraId="263F60EC">
            <w:pPr>
              <w:shd w:val="clear" w:color="auto" w:fill="auto"/>
              <w:spacing w:line="360" w:lineRule="auto"/>
              <w:jc w:val="center"/>
              <w:rPr>
                <w:rFonts w:hint="eastAsia" w:ascii="仿宋" w:hAnsi="仿宋" w:eastAsia="仿宋" w:cs="仿宋"/>
                <w:b/>
                <w:color w:val="000000"/>
                <w:sz w:val="24"/>
                <w:szCs w:val="24"/>
                <w:highlight w:val="none"/>
              </w:rPr>
            </w:pPr>
          </w:p>
        </w:tc>
        <w:tc>
          <w:tcPr>
            <w:tcW w:w="1089" w:type="dxa"/>
            <w:noWrap w:val="0"/>
            <w:vAlign w:val="top"/>
          </w:tcPr>
          <w:p w14:paraId="3F8C01BD">
            <w:pPr>
              <w:shd w:val="clear" w:color="auto" w:fill="auto"/>
              <w:spacing w:line="360"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日 期</w:t>
            </w:r>
          </w:p>
        </w:tc>
        <w:tc>
          <w:tcPr>
            <w:tcW w:w="1753" w:type="dxa"/>
            <w:noWrap w:val="0"/>
            <w:vAlign w:val="top"/>
          </w:tcPr>
          <w:p w14:paraId="3D002B76">
            <w:pPr>
              <w:shd w:val="clear" w:color="auto" w:fill="auto"/>
              <w:spacing w:line="360" w:lineRule="auto"/>
              <w:rPr>
                <w:rFonts w:hint="eastAsia" w:ascii="仿宋" w:hAnsi="仿宋" w:eastAsia="仿宋" w:cs="仿宋"/>
                <w:b/>
                <w:color w:val="000000"/>
                <w:sz w:val="24"/>
                <w:szCs w:val="24"/>
                <w:highlight w:val="none"/>
              </w:rPr>
            </w:pPr>
          </w:p>
        </w:tc>
      </w:tr>
      <w:tr w14:paraId="5D40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07D367DE">
            <w:pPr>
              <w:shd w:val="clear" w:color="auto" w:fill="auto"/>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工作内容：</w:t>
            </w:r>
          </w:p>
          <w:p w14:paraId="14D137BD">
            <w:pPr>
              <w:shd w:val="clear" w:color="auto" w:fill="auto"/>
              <w:spacing w:line="360" w:lineRule="auto"/>
              <w:rPr>
                <w:rFonts w:hint="eastAsia" w:ascii="仿宋" w:hAnsi="仿宋" w:eastAsia="仿宋" w:cs="仿宋"/>
                <w:b/>
                <w:color w:val="000000"/>
                <w:sz w:val="24"/>
                <w:szCs w:val="24"/>
                <w:highlight w:val="none"/>
              </w:rPr>
            </w:pPr>
          </w:p>
          <w:p w14:paraId="132C5FE3">
            <w:pPr>
              <w:shd w:val="clear" w:color="auto" w:fill="auto"/>
              <w:spacing w:line="360" w:lineRule="auto"/>
              <w:rPr>
                <w:rFonts w:hint="eastAsia" w:ascii="仿宋" w:hAnsi="仿宋" w:eastAsia="仿宋" w:cs="仿宋"/>
                <w:b/>
                <w:color w:val="000000"/>
                <w:sz w:val="24"/>
                <w:szCs w:val="24"/>
                <w:highlight w:val="none"/>
              </w:rPr>
            </w:pPr>
          </w:p>
          <w:p w14:paraId="25484A49">
            <w:pPr>
              <w:shd w:val="clear" w:color="auto" w:fill="auto"/>
              <w:spacing w:line="360" w:lineRule="auto"/>
              <w:rPr>
                <w:rFonts w:hint="eastAsia" w:ascii="仿宋" w:hAnsi="仿宋" w:eastAsia="仿宋" w:cs="仿宋"/>
                <w:b/>
                <w:color w:val="000000"/>
                <w:sz w:val="24"/>
                <w:szCs w:val="24"/>
                <w:highlight w:val="none"/>
              </w:rPr>
            </w:pPr>
          </w:p>
          <w:p w14:paraId="3B6EF627">
            <w:pPr>
              <w:shd w:val="clear" w:color="auto" w:fill="auto"/>
              <w:spacing w:line="360" w:lineRule="auto"/>
              <w:rPr>
                <w:rFonts w:hint="eastAsia" w:ascii="仿宋" w:hAnsi="仿宋" w:eastAsia="仿宋" w:cs="仿宋"/>
                <w:b/>
                <w:color w:val="000000"/>
                <w:sz w:val="24"/>
                <w:szCs w:val="24"/>
                <w:highlight w:val="none"/>
              </w:rPr>
            </w:pPr>
          </w:p>
          <w:p w14:paraId="7FD62DB7">
            <w:pPr>
              <w:shd w:val="clear" w:color="auto" w:fill="auto"/>
              <w:spacing w:line="360" w:lineRule="auto"/>
              <w:rPr>
                <w:rFonts w:hint="eastAsia" w:ascii="仿宋" w:hAnsi="仿宋" w:eastAsia="仿宋" w:cs="仿宋"/>
                <w:b/>
                <w:color w:val="000000"/>
                <w:sz w:val="24"/>
                <w:szCs w:val="24"/>
                <w:highlight w:val="none"/>
              </w:rPr>
            </w:pPr>
          </w:p>
          <w:p w14:paraId="6A0ED742">
            <w:pPr>
              <w:shd w:val="clear" w:color="auto" w:fill="auto"/>
              <w:spacing w:line="360" w:lineRule="auto"/>
              <w:rPr>
                <w:rFonts w:hint="eastAsia" w:ascii="仿宋" w:hAnsi="仿宋" w:eastAsia="仿宋" w:cs="仿宋"/>
                <w:b/>
                <w:color w:val="000000"/>
                <w:sz w:val="24"/>
                <w:szCs w:val="24"/>
                <w:highlight w:val="none"/>
              </w:rPr>
            </w:pPr>
          </w:p>
          <w:p w14:paraId="120D0EAD">
            <w:pPr>
              <w:shd w:val="clear" w:color="auto" w:fill="auto"/>
              <w:spacing w:line="360" w:lineRule="auto"/>
              <w:rPr>
                <w:rFonts w:hint="eastAsia" w:ascii="仿宋" w:hAnsi="仿宋" w:eastAsia="仿宋" w:cs="仿宋"/>
                <w:b/>
                <w:color w:val="000000"/>
                <w:sz w:val="24"/>
                <w:szCs w:val="24"/>
                <w:highlight w:val="none"/>
              </w:rPr>
            </w:pPr>
          </w:p>
        </w:tc>
      </w:tr>
      <w:tr w14:paraId="1802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198ED8D5">
            <w:pPr>
              <w:shd w:val="clear" w:color="auto" w:fill="auto"/>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工作心得：</w:t>
            </w:r>
          </w:p>
          <w:p w14:paraId="45C14EB6">
            <w:pPr>
              <w:shd w:val="clear" w:color="auto" w:fill="auto"/>
              <w:spacing w:line="360" w:lineRule="auto"/>
              <w:rPr>
                <w:rFonts w:hint="eastAsia" w:ascii="仿宋" w:hAnsi="仿宋" w:eastAsia="仿宋" w:cs="仿宋"/>
                <w:b/>
                <w:color w:val="000000"/>
                <w:sz w:val="24"/>
                <w:szCs w:val="24"/>
                <w:highlight w:val="none"/>
              </w:rPr>
            </w:pPr>
          </w:p>
          <w:p w14:paraId="2EAD7070">
            <w:pPr>
              <w:shd w:val="clear" w:color="auto" w:fill="auto"/>
              <w:spacing w:line="360" w:lineRule="auto"/>
              <w:rPr>
                <w:rFonts w:hint="eastAsia" w:ascii="仿宋" w:hAnsi="仿宋" w:eastAsia="仿宋" w:cs="仿宋"/>
                <w:b/>
                <w:color w:val="000000"/>
                <w:sz w:val="24"/>
                <w:szCs w:val="24"/>
                <w:highlight w:val="none"/>
              </w:rPr>
            </w:pPr>
          </w:p>
          <w:p w14:paraId="20E7BA1D">
            <w:pPr>
              <w:shd w:val="clear" w:color="auto" w:fill="auto"/>
              <w:spacing w:line="360" w:lineRule="auto"/>
              <w:rPr>
                <w:rFonts w:hint="eastAsia" w:ascii="仿宋" w:hAnsi="仿宋" w:eastAsia="仿宋" w:cs="仿宋"/>
                <w:b/>
                <w:color w:val="000000"/>
                <w:sz w:val="24"/>
                <w:szCs w:val="24"/>
                <w:highlight w:val="none"/>
              </w:rPr>
            </w:pPr>
          </w:p>
          <w:p w14:paraId="45571FC5">
            <w:pPr>
              <w:shd w:val="clear" w:color="auto" w:fill="auto"/>
              <w:spacing w:line="360" w:lineRule="auto"/>
              <w:rPr>
                <w:rFonts w:hint="eastAsia" w:ascii="仿宋" w:hAnsi="仿宋" w:eastAsia="仿宋" w:cs="仿宋"/>
                <w:b/>
                <w:color w:val="000000"/>
                <w:sz w:val="24"/>
                <w:szCs w:val="24"/>
                <w:highlight w:val="none"/>
              </w:rPr>
            </w:pPr>
          </w:p>
          <w:p w14:paraId="4F783883">
            <w:pPr>
              <w:shd w:val="clear" w:color="auto" w:fill="auto"/>
              <w:spacing w:line="360" w:lineRule="auto"/>
              <w:rPr>
                <w:rFonts w:hint="eastAsia" w:ascii="仿宋" w:hAnsi="仿宋" w:eastAsia="仿宋" w:cs="仿宋"/>
                <w:b/>
                <w:color w:val="000000"/>
                <w:sz w:val="24"/>
                <w:szCs w:val="24"/>
                <w:highlight w:val="none"/>
              </w:rPr>
            </w:pPr>
          </w:p>
          <w:p w14:paraId="14146CCD">
            <w:pPr>
              <w:shd w:val="clear" w:color="auto" w:fill="auto"/>
              <w:spacing w:line="360" w:lineRule="auto"/>
              <w:rPr>
                <w:rFonts w:hint="eastAsia" w:ascii="仿宋" w:hAnsi="仿宋" w:eastAsia="仿宋" w:cs="仿宋"/>
                <w:b/>
                <w:color w:val="000000"/>
                <w:sz w:val="24"/>
                <w:szCs w:val="24"/>
                <w:highlight w:val="none"/>
              </w:rPr>
            </w:pPr>
          </w:p>
          <w:p w14:paraId="6BB73272">
            <w:pPr>
              <w:shd w:val="clear" w:color="auto" w:fill="auto"/>
              <w:spacing w:line="360" w:lineRule="auto"/>
              <w:rPr>
                <w:rFonts w:hint="eastAsia" w:ascii="仿宋" w:hAnsi="仿宋" w:eastAsia="仿宋" w:cs="仿宋"/>
                <w:b/>
                <w:color w:val="000000"/>
                <w:sz w:val="24"/>
                <w:szCs w:val="24"/>
                <w:highlight w:val="none"/>
              </w:rPr>
            </w:pPr>
          </w:p>
          <w:p w14:paraId="51C1AA01">
            <w:pPr>
              <w:shd w:val="clear" w:color="auto" w:fill="auto"/>
              <w:spacing w:line="360" w:lineRule="auto"/>
              <w:rPr>
                <w:rFonts w:hint="eastAsia" w:ascii="仿宋" w:hAnsi="仿宋" w:eastAsia="仿宋" w:cs="仿宋"/>
                <w:b/>
                <w:color w:val="000000"/>
                <w:sz w:val="24"/>
                <w:szCs w:val="24"/>
                <w:highlight w:val="none"/>
              </w:rPr>
            </w:pPr>
          </w:p>
        </w:tc>
      </w:tr>
      <w:tr w14:paraId="7356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noWrap w:val="0"/>
            <w:vAlign w:val="top"/>
          </w:tcPr>
          <w:p w14:paraId="320A269F">
            <w:pPr>
              <w:shd w:val="clear" w:color="auto" w:fill="auto"/>
              <w:spacing w:line="360" w:lineRule="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督导反馈：</w:t>
            </w:r>
          </w:p>
          <w:p w14:paraId="7975EEFF">
            <w:pPr>
              <w:shd w:val="clear" w:color="auto" w:fill="auto"/>
              <w:spacing w:line="360" w:lineRule="auto"/>
              <w:rPr>
                <w:rFonts w:hint="eastAsia" w:ascii="仿宋" w:hAnsi="仿宋" w:eastAsia="仿宋" w:cs="仿宋"/>
                <w:b/>
                <w:color w:val="000000"/>
                <w:sz w:val="24"/>
                <w:szCs w:val="24"/>
                <w:highlight w:val="none"/>
              </w:rPr>
            </w:pPr>
          </w:p>
          <w:p w14:paraId="0CE1794A">
            <w:pPr>
              <w:shd w:val="clear" w:color="auto" w:fill="auto"/>
              <w:spacing w:line="360" w:lineRule="auto"/>
              <w:rPr>
                <w:rFonts w:hint="eastAsia" w:ascii="仿宋" w:hAnsi="仿宋" w:eastAsia="仿宋" w:cs="仿宋"/>
                <w:b/>
                <w:color w:val="000000"/>
                <w:sz w:val="24"/>
                <w:szCs w:val="24"/>
                <w:highlight w:val="none"/>
              </w:rPr>
            </w:pPr>
          </w:p>
          <w:p w14:paraId="1F158631">
            <w:pPr>
              <w:shd w:val="clear" w:color="auto" w:fill="auto"/>
              <w:spacing w:line="360" w:lineRule="auto"/>
              <w:rPr>
                <w:rFonts w:hint="eastAsia" w:ascii="仿宋" w:hAnsi="仿宋" w:eastAsia="仿宋" w:cs="仿宋"/>
                <w:b/>
                <w:color w:val="000000"/>
                <w:sz w:val="24"/>
                <w:szCs w:val="24"/>
                <w:highlight w:val="none"/>
              </w:rPr>
            </w:pPr>
          </w:p>
          <w:p w14:paraId="70CF0B9C">
            <w:pPr>
              <w:shd w:val="clear" w:color="auto" w:fill="auto"/>
              <w:spacing w:line="360" w:lineRule="auto"/>
              <w:rPr>
                <w:rFonts w:hint="eastAsia" w:ascii="仿宋" w:hAnsi="仿宋" w:eastAsia="仿宋" w:cs="仿宋"/>
                <w:b/>
                <w:color w:val="000000"/>
                <w:sz w:val="24"/>
                <w:szCs w:val="24"/>
                <w:highlight w:val="none"/>
              </w:rPr>
            </w:pPr>
          </w:p>
          <w:p w14:paraId="31ACA9CF">
            <w:pPr>
              <w:shd w:val="clear" w:color="auto" w:fill="auto"/>
              <w:spacing w:line="360" w:lineRule="auto"/>
              <w:rPr>
                <w:rFonts w:hint="eastAsia" w:ascii="仿宋" w:hAnsi="仿宋" w:eastAsia="仿宋" w:cs="仿宋"/>
                <w:b/>
                <w:color w:val="000000"/>
                <w:sz w:val="24"/>
                <w:szCs w:val="24"/>
                <w:highlight w:val="none"/>
              </w:rPr>
            </w:pPr>
          </w:p>
          <w:p w14:paraId="5766959F">
            <w:pPr>
              <w:shd w:val="clear" w:color="auto" w:fill="auto"/>
              <w:spacing w:line="360" w:lineRule="auto"/>
              <w:rPr>
                <w:rFonts w:hint="eastAsia" w:ascii="仿宋" w:hAnsi="仿宋" w:eastAsia="仿宋" w:cs="仿宋"/>
                <w:b/>
                <w:color w:val="000000"/>
                <w:sz w:val="24"/>
                <w:szCs w:val="24"/>
                <w:highlight w:val="none"/>
              </w:rPr>
            </w:pPr>
          </w:p>
        </w:tc>
      </w:tr>
    </w:tbl>
    <w:p w14:paraId="771795E9">
      <w:pPr>
        <w:shd w:val="clear" w:color="auto" w:fill="auto"/>
        <w:spacing w:line="480" w:lineRule="auto"/>
        <w:rPr>
          <w:rFonts w:hint="eastAsia" w:ascii="仿宋" w:hAnsi="仿宋" w:eastAsia="仿宋" w:cs="仿宋"/>
          <w:b/>
          <w:bCs/>
          <w:color w:val="000000"/>
          <w:sz w:val="32"/>
          <w:szCs w:val="28"/>
          <w:highlight w:val="none"/>
        </w:rPr>
      </w:pPr>
    </w:p>
    <w:p w14:paraId="1B1184C3">
      <w:pPr>
        <w:numPr>
          <w:ilvl w:val="0"/>
          <w:numId w:val="0"/>
        </w:numPr>
        <w:shd w:val="clear" w:color="auto" w:fill="auto"/>
        <w:spacing w:line="480" w:lineRule="auto"/>
        <w:rPr>
          <w:rFonts w:hint="eastAsia" w:ascii="仿宋" w:hAnsi="仿宋" w:eastAsia="仿宋" w:cs="仿宋"/>
          <w:bCs/>
          <w:color w:val="000000"/>
          <w:kern w:val="0"/>
          <w:sz w:val="28"/>
          <w:szCs w:val="28"/>
          <w:highlight w:val="none"/>
        </w:rPr>
      </w:pPr>
      <w:r>
        <w:rPr>
          <w:rFonts w:hint="eastAsia" w:ascii="仿宋" w:hAnsi="仿宋" w:eastAsia="仿宋" w:cs="仿宋"/>
          <w:b/>
          <w:bCs/>
          <w:color w:val="000000"/>
          <w:sz w:val="32"/>
          <w:szCs w:val="28"/>
          <w:highlight w:val="none"/>
          <w:lang w:val="en-US" w:eastAsia="zh-CN"/>
        </w:rPr>
        <w:t>八、</w:t>
      </w:r>
      <w:r>
        <w:rPr>
          <w:rFonts w:hint="eastAsia" w:ascii="仿宋" w:hAnsi="仿宋" w:eastAsia="仿宋" w:cs="仿宋"/>
          <w:b/>
          <w:bCs/>
          <w:color w:val="000000"/>
          <w:sz w:val="32"/>
          <w:szCs w:val="28"/>
          <w:highlight w:val="none"/>
        </w:rPr>
        <w:t>实习生督导制度</w:t>
      </w:r>
    </w:p>
    <w:p w14:paraId="07B39F1E">
      <w:pPr>
        <w:shd w:val="clear" w:color="auto" w:fill="auto"/>
        <w:spacing w:line="480" w:lineRule="auto"/>
        <w:jc w:val="center"/>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lang w:eastAsia="zh-CN"/>
        </w:rPr>
        <w:t>青海省青海湖生态保护基金会</w:t>
      </w:r>
      <w:r>
        <w:rPr>
          <w:rFonts w:hint="eastAsia" w:ascii="仿宋" w:hAnsi="仿宋" w:eastAsia="仿宋" w:cs="仿宋"/>
          <w:b/>
          <w:color w:val="000000"/>
          <w:kern w:val="0"/>
          <w:sz w:val="28"/>
          <w:szCs w:val="28"/>
          <w:highlight w:val="none"/>
        </w:rPr>
        <w:t>周督导提纲</w:t>
      </w:r>
    </w:p>
    <w:p w14:paraId="49FB39E5">
      <w:pPr>
        <w:shd w:val="clear" w:color="auto" w:fill="auto"/>
        <w:spacing w:line="264" w:lineRule="auto"/>
        <w:rPr>
          <w:rFonts w:hint="eastAsia" w:ascii="仿宋" w:hAnsi="仿宋" w:eastAsia="仿宋" w:cs="仿宋"/>
          <w:bCs/>
          <w:color w:val="000000"/>
          <w:sz w:val="24"/>
          <w:szCs w:val="24"/>
          <w:highlight w:val="none"/>
          <w:u w:val="single"/>
        </w:rPr>
      </w:pPr>
      <w:r>
        <w:rPr>
          <w:rFonts w:hint="eastAsia" w:ascii="仿宋" w:hAnsi="仿宋" w:eastAsia="仿宋" w:cs="仿宋"/>
          <w:bCs/>
          <w:color w:val="000000"/>
          <w:sz w:val="24"/>
          <w:szCs w:val="24"/>
          <w:highlight w:val="none"/>
        </w:rPr>
        <w:t>实习生所在实习点：</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 xml:space="preserve">           责任督导姓名：</w:t>
      </w:r>
      <w:r>
        <w:rPr>
          <w:rFonts w:hint="eastAsia" w:ascii="仿宋" w:hAnsi="仿宋" w:eastAsia="仿宋" w:cs="仿宋"/>
          <w:bCs/>
          <w:color w:val="000000"/>
          <w:sz w:val="24"/>
          <w:szCs w:val="24"/>
          <w:highlight w:val="none"/>
          <w:u w:val="single"/>
        </w:rPr>
        <w:t xml:space="preserve">         </w:t>
      </w:r>
    </w:p>
    <w:p w14:paraId="6A62AD0C">
      <w:pPr>
        <w:shd w:val="clear" w:color="auto" w:fill="auto"/>
        <w:spacing w:line="264" w:lineRule="auto"/>
        <w:rPr>
          <w:rFonts w:hint="eastAsia" w:ascii="仿宋" w:hAnsi="仿宋" w:eastAsia="仿宋" w:cs="仿宋"/>
          <w:bCs/>
          <w:color w:val="000000"/>
          <w:sz w:val="24"/>
          <w:szCs w:val="24"/>
          <w:highlight w:val="none"/>
          <w:u w:val="single"/>
        </w:rPr>
      </w:pPr>
      <w:r>
        <w:rPr>
          <w:rFonts w:hint="eastAsia" w:ascii="仿宋" w:hAnsi="仿宋" w:eastAsia="仿宋" w:cs="仿宋"/>
          <w:bCs/>
          <w:color w:val="000000"/>
          <w:sz w:val="24"/>
          <w:szCs w:val="24"/>
          <w:highlight w:val="none"/>
        </w:rPr>
        <w:t>实习生姓名：</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 xml:space="preserve">                 日期：</w:t>
      </w:r>
      <w:r>
        <w:rPr>
          <w:rFonts w:hint="eastAsia" w:ascii="仿宋" w:hAnsi="仿宋" w:eastAsia="仿宋" w:cs="仿宋"/>
          <w:bCs/>
          <w:color w:val="000000"/>
          <w:sz w:val="24"/>
          <w:szCs w:val="24"/>
          <w:highlight w:val="none"/>
          <w:u w:val="single"/>
        </w:rPr>
        <w:t xml:space="preserve">          </w:t>
      </w:r>
    </w:p>
    <w:p w14:paraId="0A39E0A3">
      <w:pPr>
        <w:shd w:val="clear" w:color="auto" w:fill="auto"/>
        <w:spacing w:line="264" w:lineRule="auto"/>
        <w:rPr>
          <w:rFonts w:hint="eastAsia" w:ascii="仿宋" w:hAnsi="仿宋" w:eastAsia="仿宋" w:cs="仿宋"/>
          <w:bCs/>
          <w:color w:val="000000"/>
          <w:sz w:val="24"/>
          <w:szCs w:val="24"/>
          <w:highlight w:val="none"/>
          <w:u w:val="single"/>
        </w:rPr>
      </w:pPr>
      <w:r>
        <w:rPr>
          <w:rFonts w:hint="eastAsia" w:ascii="仿宋" w:hAnsi="仿宋" w:eastAsia="仿宋" w:cs="仿宋"/>
          <w:bCs/>
          <w:color w:val="000000"/>
          <w:sz w:val="24"/>
          <w:szCs w:val="24"/>
          <w:highlight w:val="none"/>
        </w:rPr>
        <w:t>督导时段：</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月</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 xml:space="preserve">日—— </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 xml:space="preserve">月 </w:t>
      </w:r>
      <w:r>
        <w:rPr>
          <w:rFonts w:hint="eastAsia" w:ascii="仿宋" w:hAnsi="仿宋" w:eastAsia="仿宋" w:cs="仿宋"/>
          <w:bCs/>
          <w:color w:val="000000"/>
          <w:sz w:val="24"/>
          <w:szCs w:val="24"/>
          <w:highlight w:val="none"/>
          <w:u w:val="single"/>
        </w:rPr>
        <w:t xml:space="preserve">  </w:t>
      </w:r>
      <w:r>
        <w:rPr>
          <w:rFonts w:hint="eastAsia" w:ascii="仿宋" w:hAnsi="仿宋" w:eastAsia="仿宋" w:cs="仿宋"/>
          <w:bCs/>
          <w:color w:val="000000"/>
          <w:sz w:val="24"/>
          <w:szCs w:val="24"/>
          <w:highlight w:val="none"/>
        </w:rPr>
        <w:t xml:space="preserve">日            </w:t>
      </w:r>
    </w:p>
    <w:p w14:paraId="07226DCD">
      <w:p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督导内容：</w:t>
      </w:r>
    </w:p>
    <w:p w14:paraId="31CD7E0D">
      <w:pPr>
        <w:numPr>
          <w:ilvl w:val="0"/>
          <w:numId w:val="3"/>
        </w:num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实习生的表现</w:t>
      </w:r>
    </w:p>
    <w:p w14:paraId="4E4040B2">
      <w:p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 xml:space="preserve">（1）实习生陈述自己本周的收获、体验（对工作模式、机构和活动点的了解） </w:t>
      </w:r>
    </w:p>
    <w:p w14:paraId="2048B776">
      <w:pPr>
        <w:shd w:val="clear" w:color="auto" w:fill="auto"/>
        <w:spacing w:line="264" w:lineRule="auto"/>
        <w:ind w:left="357" w:leftChars="170" w:firstLine="1"/>
        <w:jc w:val="left"/>
        <w:rPr>
          <w:rFonts w:hint="eastAsia" w:ascii="仿宋" w:hAnsi="仿宋" w:eastAsia="仿宋" w:cs="仿宋"/>
          <w:bCs/>
          <w:color w:val="000000"/>
          <w:sz w:val="24"/>
          <w:szCs w:val="24"/>
          <w:highlight w:val="none"/>
        </w:rPr>
      </w:pPr>
    </w:p>
    <w:p w14:paraId="72A78732">
      <w:pPr>
        <w:shd w:val="clear" w:color="auto" w:fill="auto"/>
        <w:spacing w:line="264" w:lineRule="auto"/>
        <w:ind w:left="357" w:leftChars="170" w:firstLine="1"/>
        <w:jc w:val="left"/>
        <w:rPr>
          <w:rFonts w:hint="eastAsia" w:ascii="仿宋" w:hAnsi="仿宋" w:eastAsia="仿宋" w:cs="仿宋"/>
          <w:bCs/>
          <w:color w:val="000000"/>
          <w:sz w:val="24"/>
          <w:szCs w:val="24"/>
          <w:highlight w:val="none"/>
        </w:rPr>
      </w:pPr>
    </w:p>
    <w:p w14:paraId="48FAE012">
      <w:pPr>
        <w:shd w:val="clear" w:color="auto" w:fill="auto"/>
        <w:spacing w:line="264" w:lineRule="auto"/>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（2）实习生认识机构、活动点、实习点的方式和渠道</w:t>
      </w:r>
    </w:p>
    <w:p w14:paraId="33EC472F">
      <w:pPr>
        <w:shd w:val="clear" w:color="auto" w:fill="auto"/>
        <w:spacing w:line="264" w:lineRule="auto"/>
        <w:jc w:val="left"/>
        <w:rPr>
          <w:rFonts w:hint="eastAsia" w:ascii="仿宋" w:hAnsi="仿宋" w:eastAsia="仿宋" w:cs="仿宋"/>
          <w:bCs/>
          <w:color w:val="000000"/>
          <w:sz w:val="24"/>
          <w:szCs w:val="24"/>
          <w:highlight w:val="none"/>
        </w:rPr>
      </w:pPr>
    </w:p>
    <w:p w14:paraId="22D84F2A">
      <w:pPr>
        <w:shd w:val="clear" w:color="auto" w:fill="auto"/>
        <w:spacing w:line="264" w:lineRule="auto"/>
        <w:jc w:val="left"/>
        <w:rPr>
          <w:rFonts w:hint="eastAsia" w:ascii="仿宋" w:hAnsi="仿宋" w:eastAsia="仿宋" w:cs="仿宋"/>
          <w:bCs/>
          <w:color w:val="000000"/>
          <w:sz w:val="24"/>
          <w:szCs w:val="24"/>
          <w:highlight w:val="none"/>
        </w:rPr>
      </w:pPr>
    </w:p>
    <w:p w14:paraId="3940A887">
      <w:pPr>
        <w:shd w:val="clear" w:color="auto" w:fill="auto"/>
        <w:spacing w:line="264" w:lineRule="auto"/>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（3）实习生实习过程中遇到的困难和问题</w:t>
      </w:r>
    </w:p>
    <w:p w14:paraId="07C93BD7">
      <w:pPr>
        <w:shd w:val="clear" w:color="auto" w:fill="auto"/>
        <w:spacing w:line="264" w:lineRule="auto"/>
        <w:jc w:val="left"/>
        <w:rPr>
          <w:rFonts w:hint="eastAsia" w:ascii="仿宋" w:hAnsi="仿宋" w:eastAsia="仿宋" w:cs="仿宋"/>
          <w:bCs/>
          <w:color w:val="000000"/>
          <w:sz w:val="24"/>
          <w:szCs w:val="24"/>
          <w:highlight w:val="none"/>
        </w:rPr>
      </w:pPr>
    </w:p>
    <w:p w14:paraId="37C3E250">
      <w:pPr>
        <w:shd w:val="clear" w:color="auto" w:fill="auto"/>
        <w:spacing w:line="264" w:lineRule="auto"/>
        <w:jc w:val="left"/>
        <w:rPr>
          <w:rFonts w:hint="eastAsia" w:ascii="仿宋" w:hAnsi="仿宋" w:eastAsia="仿宋" w:cs="仿宋"/>
          <w:bCs/>
          <w:color w:val="000000"/>
          <w:sz w:val="24"/>
          <w:szCs w:val="24"/>
          <w:highlight w:val="none"/>
        </w:rPr>
      </w:pPr>
    </w:p>
    <w:p w14:paraId="03E27D09">
      <w:pPr>
        <w:shd w:val="clear" w:color="auto" w:fill="auto"/>
        <w:spacing w:line="264" w:lineRule="auto"/>
        <w:jc w:val="left"/>
        <w:rPr>
          <w:rFonts w:hint="eastAsia" w:ascii="仿宋" w:hAnsi="仿宋" w:eastAsia="仿宋" w:cs="仿宋"/>
          <w:bCs/>
          <w:color w:val="000000"/>
          <w:sz w:val="24"/>
          <w:szCs w:val="24"/>
          <w:highlight w:val="none"/>
        </w:rPr>
      </w:pPr>
    </w:p>
    <w:p w14:paraId="705CC115">
      <w:pPr>
        <w:shd w:val="clear" w:color="auto" w:fill="auto"/>
        <w:spacing w:line="264" w:lineRule="auto"/>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（4）实习生在与服务对象、工作人员沟通和团队合作方面的表现</w:t>
      </w:r>
    </w:p>
    <w:p w14:paraId="1E20BE33">
      <w:pPr>
        <w:shd w:val="clear" w:color="auto" w:fill="auto"/>
        <w:spacing w:line="264" w:lineRule="auto"/>
        <w:rPr>
          <w:rFonts w:hint="eastAsia" w:ascii="仿宋" w:hAnsi="仿宋" w:eastAsia="仿宋" w:cs="仿宋"/>
          <w:bCs/>
          <w:color w:val="000000"/>
          <w:sz w:val="24"/>
          <w:szCs w:val="24"/>
          <w:highlight w:val="none"/>
        </w:rPr>
      </w:pPr>
    </w:p>
    <w:p w14:paraId="48C0BBE7">
      <w:pPr>
        <w:shd w:val="clear" w:color="auto" w:fill="auto"/>
        <w:spacing w:line="264" w:lineRule="auto"/>
        <w:rPr>
          <w:rFonts w:hint="eastAsia" w:ascii="仿宋" w:hAnsi="仿宋" w:eastAsia="仿宋" w:cs="仿宋"/>
          <w:bCs/>
          <w:color w:val="000000"/>
          <w:sz w:val="24"/>
          <w:szCs w:val="24"/>
          <w:highlight w:val="none"/>
        </w:rPr>
      </w:pPr>
    </w:p>
    <w:p w14:paraId="2E7521CB">
      <w:pPr>
        <w:shd w:val="clear" w:color="auto" w:fill="auto"/>
        <w:spacing w:line="264" w:lineRule="auto"/>
        <w:rPr>
          <w:rFonts w:hint="eastAsia" w:ascii="仿宋" w:hAnsi="仿宋" w:eastAsia="仿宋" w:cs="仿宋"/>
          <w:bCs/>
          <w:color w:val="000000"/>
          <w:sz w:val="24"/>
          <w:szCs w:val="24"/>
          <w:highlight w:val="none"/>
        </w:rPr>
      </w:pPr>
    </w:p>
    <w:p w14:paraId="0052EA07">
      <w:p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（5）实习生在价值观、理念方面的收获、触动（社会价值、个人价值、专业价值和机构理念）</w:t>
      </w:r>
    </w:p>
    <w:p w14:paraId="47483ACA">
      <w:pPr>
        <w:shd w:val="clear" w:color="auto" w:fill="auto"/>
        <w:spacing w:line="264" w:lineRule="auto"/>
        <w:ind w:left="420"/>
        <w:rPr>
          <w:rFonts w:hint="eastAsia" w:ascii="仿宋" w:hAnsi="仿宋" w:eastAsia="仿宋" w:cs="仿宋"/>
          <w:bCs/>
          <w:color w:val="000000"/>
          <w:sz w:val="24"/>
          <w:szCs w:val="24"/>
          <w:highlight w:val="none"/>
        </w:rPr>
      </w:pPr>
    </w:p>
    <w:p w14:paraId="0E49CADC">
      <w:pPr>
        <w:shd w:val="clear" w:color="auto" w:fill="auto"/>
        <w:spacing w:line="264" w:lineRule="auto"/>
        <w:ind w:left="420"/>
        <w:rPr>
          <w:rFonts w:hint="eastAsia" w:ascii="仿宋" w:hAnsi="仿宋" w:eastAsia="仿宋" w:cs="仿宋"/>
          <w:bCs/>
          <w:color w:val="000000"/>
          <w:sz w:val="24"/>
          <w:szCs w:val="24"/>
          <w:highlight w:val="none"/>
        </w:rPr>
      </w:pPr>
    </w:p>
    <w:p w14:paraId="289DADDB">
      <w:pPr>
        <w:shd w:val="clear" w:color="auto" w:fill="auto"/>
        <w:spacing w:line="264" w:lineRule="auto"/>
        <w:ind w:left="420"/>
        <w:rPr>
          <w:rFonts w:hint="eastAsia" w:ascii="仿宋" w:hAnsi="仿宋" w:eastAsia="仿宋" w:cs="仿宋"/>
          <w:bCs/>
          <w:color w:val="000000"/>
          <w:sz w:val="24"/>
          <w:szCs w:val="24"/>
          <w:highlight w:val="none"/>
        </w:rPr>
      </w:pPr>
    </w:p>
    <w:p w14:paraId="75B29A39">
      <w:pPr>
        <w:shd w:val="clear" w:color="auto" w:fill="auto"/>
        <w:spacing w:line="264" w:lineRule="auto"/>
        <w:ind w:left="420"/>
        <w:rPr>
          <w:rFonts w:hint="eastAsia" w:ascii="仿宋" w:hAnsi="仿宋" w:eastAsia="仿宋" w:cs="仿宋"/>
          <w:bCs/>
          <w:color w:val="000000"/>
          <w:sz w:val="24"/>
          <w:szCs w:val="24"/>
          <w:highlight w:val="none"/>
        </w:rPr>
      </w:pPr>
    </w:p>
    <w:p w14:paraId="25AEA5CE">
      <w:p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2．评估</w:t>
      </w:r>
    </w:p>
    <w:p w14:paraId="4CE116D9">
      <w:p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（1）督导对实习生本周表现评价</w:t>
      </w:r>
    </w:p>
    <w:p w14:paraId="1FCDD080">
      <w:pPr>
        <w:shd w:val="clear" w:color="auto" w:fill="auto"/>
        <w:spacing w:line="264" w:lineRule="auto"/>
        <w:ind w:left="420"/>
        <w:rPr>
          <w:rFonts w:hint="eastAsia" w:ascii="仿宋" w:hAnsi="仿宋" w:eastAsia="仿宋" w:cs="仿宋"/>
          <w:bCs/>
          <w:color w:val="000000"/>
          <w:sz w:val="24"/>
          <w:szCs w:val="24"/>
          <w:highlight w:val="none"/>
        </w:rPr>
      </w:pPr>
    </w:p>
    <w:p w14:paraId="0E678DEB">
      <w:pPr>
        <w:shd w:val="clear" w:color="auto" w:fill="auto"/>
        <w:spacing w:line="264" w:lineRule="auto"/>
        <w:ind w:left="420"/>
        <w:rPr>
          <w:rFonts w:hint="eastAsia" w:ascii="仿宋" w:hAnsi="仿宋" w:eastAsia="仿宋" w:cs="仿宋"/>
          <w:bCs/>
          <w:color w:val="000000"/>
          <w:sz w:val="24"/>
          <w:szCs w:val="24"/>
          <w:highlight w:val="none"/>
        </w:rPr>
      </w:pPr>
    </w:p>
    <w:p w14:paraId="1D035429">
      <w:pPr>
        <w:shd w:val="clear" w:color="auto" w:fill="auto"/>
        <w:spacing w:line="264" w:lineRule="auto"/>
        <w:ind w:left="420"/>
        <w:rPr>
          <w:rFonts w:hint="eastAsia" w:ascii="仿宋" w:hAnsi="仿宋" w:eastAsia="仿宋" w:cs="仿宋"/>
          <w:bCs/>
          <w:color w:val="000000"/>
          <w:sz w:val="24"/>
          <w:szCs w:val="24"/>
          <w:highlight w:val="none"/>
        </w:rPr>
      </w:pPr>
    </w:p>
    <w:p w14:paraId="671F09CA">
      <w:p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（2）实习生对督导的意见或建议</w:t>
      </w:r>
    </w:p>
    <w:p w14:paraId="3AC1E899">
      <w:pPr>
        <w:shd w:val="clear" w:color="auto" w:fill="auto"/>
        <w:spacing w:line="264" w:lineRule="auto"/>
        <w:ind w:left="420" w:leftChars="200"/>
        <w:rPr>
          <w:rFonts w:hint="eastAsia" w:ascii="仿宋" w:hAnsi="仿宋" w:eastAsia="仿宋" w:cs="仿宋"/>
          <w:bCs/>
          <w:color w:val="000000"/>
          <w:sz w:val="24"/>
          <w:szCs w:val="24"/>
          <w:highlight w:val="none"/>
        </w:rPr>
      </w:pPr>
    </w:p>
    <w:p w14:paraId="0D75FA8C">
      <w:pPr>
        <w:shd w:val="clear" w:color="auto" w:fill="auto"/>
        <w:spacing w:line="264" w:lineRule="auto"/>
        <w:ind w:left="420" w:leftChars="200"/>
        <w:rPr>
          <w:rFonts w:hint="eastAsia" w:ascii="仿宋" w:hAnsi="仿宋" w:eastAsia="仿宋" w:cs="仿宋"/>
          <w:bCs/>
          <w:color w:val="000000"/>
          <w:sz w:val="24"/>
          <w:szCs w:val="24"/>
          <w:highlight w:val="none"/>
        </w:rPr>
      </w:pPr>
    </w:p>
    <w:p w14:paraId="1097C7F5">
      <w:pPr>
        <w:shd w:val="clear" w:color="auto" w:fill="auto"/>
        <w:spacing w:line="264" w:lineRule="auto"/>
        <w:ind w:left="420" w:leftChars="200"/>
        <w:rPr>
          <w:rFonts w:hint="eastAsia" w:ascii="仿宋" w:hAnsi="仿宋" w:eastAsia="仿宋" w:cs="仿宋"/>
          <w:bCs/>
          <w:color w:val="000000"/>
          <w:sz w:val="24"/>
          <w:szCs w:val="24"/>
          <w:highlight w:val="none"/>
        </w:rPr>
      </w:pPr>
    </w:p>
    <w:p w14:paraId="0671D8B7">
      <w:pPr>
        <w:numPr>
          <w:ilvl w:val="0"/>
          <w:numId w:val="4"/>
        </w:num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实习生的自我评价</w:t>
      </w:r>
    </w:p>
    <w:p w14:paraId="4AA59E62">
      <w:pPr>
        <w:shd w:val="clear" w:color="auto" w:fill="auto"/>
        <w:spacing w:line="264" w:lineRule="auto"/>
        <w:rPr>
          <w:rFonts w:hint="eastAsia" w:ascii="仿宋" w:hAnsi="仿宋" w:eastAsia="仿宋" w:cs="仿宋"/>
          <w:bCs/>
          <w:color w:val="000000"/>
          <w:sz w:val="24"/>
          <w:szCs w:val="24"/>
          <w:highlight w:val="none"/>
        </w:rPr>
      </w:pPr>
    </w:p>
    <w:p w14:paraId="079CD16A">
      <w:pPr>
        <w:shd w:val="clear" w:color="auto" w:fill="auto"/>
        <w:spacing w:line="264" w:lineRule="auto"/>
        <w:jc w:val="center"/>
        <w:rPr>
          <w:rFonts w:hint="eastAsia" w:ascii="仿宋" w:hAnsi="仿宋" w:eastAsia="仿宋" w:cs="仿宋"/>
          <w:b/>
          <w:color w:val="000000"/>
          <w:sz w:val="24"/>
          <w:szCs w:val="24"/>
          <w:highlight w:val="none"/>
        </w:rPr>
      </w:pPr>
      <w:r>
        <w:rPr>
          <w:rFonts w:hint="eastAsia" w:ascii="仿宋" w:hAnsi="仿宋" w:eastAsia="仿宋" w:cs="仿宋"/>
          <w:b/>
          <w:color w:val="000000"/>
          <w:kern w:val="0"/>
          <w:sz w:val="28"/>
          <w:szCs w:val="28"/>
          <w:highlight w:val="none"/>
          <w:lang w:eastAsia="zh-CN"/>
        </w:rPr>
        <w:t>青海省青海湖生态保护基金会</w:t>
      </w:r>
      <w:r>
        <w:rPr>
          <w:rFonts w:hint="eastAsia" w:ascii="仿宋" w:hAnsi="仿宋" w:eastAsia="仿宋" w:cs="仿宋"/>
          <w:b/>
          <w:color w:val="000000"/>
          <w:sz w:val="28"/>
          <w:szCs w:val="28"/>
          <w:highlight w:val="none"/>
        </w:rPr>
        <w:t>月督导提纲</w:t>
      </w:r>
    </w:p>
    <w:p w14:paraId="3DB1B89C">
      <w:p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一、各位实习生本月实习概况：</w:t>
      </w:r>
    </w:p>
    <w:p w14:paraId="75417435">
      <w:pPr>
        <w:shd w:val="clear" w:color="auto" w:fill="auto"/>
        <w:spacing w:line="264" w:lineRule="auto"/>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1.实习生陈述自己本月对学员、工作人员、活动点及机构的整体认识</w:t>
      </w:r>
    </w:p>
    <w:p w14:paraId="35CA510E">
      <w:pPr>
        <w:shd w:val="clear" w:color="auto" w:fill="auto"/>
        <w:spacing w:line="264" w:lineRule="auto"/>
        <w:ind w:firstLine="480" w:firstLineChars="200"/>
        <w:jc w:val="left"/>
        <w:rPr>
          <w:rFonts w:hint="eastAsia" w:ascii="仿宋" w:hAnsi="仿宋" w:eastAsia="仿宋" w:cs="仿宋"/>
          <w:bCs/>
          <w:color w:val="000000"/>
          <w:sz w:val="24"/>
          <w:szCs w:val="24"/>
          <w:highlight w:val="none"/>
        </w:rPr>
      </w:pPr>
    </w:p>
    <w:p w14:paraId="3DC8BAC2">
      <w:pPr>
        <w:shd w:val="clear" w:color="auto" w:fill="auto"/>
        <w:spacing w:line="264" w:lineRule="auto"/>
        <w:ind w:firstLine="480" w:firstLineChars="200"/>
        <w:jc w:val="left"/>
        <w:rPr>
          <w:rFonts w:hint="eastAsia" w:ascii="仿宋" w:hAnsi="仿宋" w:eastAsia="仿宋" w:cs="仿宋"/>
          <w:bCs/>
          <w:color w:val="000000"/>
          <w:sz w:val="24"/>
          <w:szCs w:val="24"/>
          <w:highlight w:val="none"/>
        </w:rPr>
      </w:pPr>
    </w:p>
    <w:p w14:paraId="767C4EF8">
      <w:pPr>
        <w:shd w:val="clear" w:color="auto" w:fill="auto"/>
        <w:spacing w:line="264" w:lineRule="auto"/>
        <w:ind w:firstLine="480" w:firstLineChars="200"/>
        <w:jc w:val="left"/>
        <w:rPr>
          <w:rFonts w:hint="eastAsia" w:ascii="仿宋" w:hAnsi="仿宋" w:eastAsia="仿宋" w:cs="仿宋"/>
          <w:bCs/>
          <w:color w:val="000000"/>
          <w:sz w:val="24"/>
          <w:szCs w:val="24"/>
          <w:highlight w:val="none"/>
        </w:rPr>
      </w:pPr>
    </w:p>
    <w:p w14:paraId="3E2CE361">
      <w:pPr>
        <w:shd w:val="clear" w:color="auto" w:fill="auto"/>
        <w:spacing w:line="264" w:lineRule="auto"/>
        <w:ind w:firstLine="480" w:firstLineChars="200"/>
        <w:jc w:val="left"/>
        <w:rPr>
          <w:rFonts w:hint="eastAsia" w:ascii="仿宋" w:hAnsi="仿宋" w:eastAsia="仿宋" w:cs="仿宋"/>
          <w:bCs/>
          <w:color w:val="000000"/>
          <w:sz w:val="24"/>
          <w:szCs w:val="24"/>
          <w:highlight w:val="none"/>
        </w:rPr>
      </w:pPr>
    </w:p>
    <w:p w14:paraId="5F2C8168">
      <w:pPr>
        <w:shd w:val="clear" w:color="auto" w:fill="auto"/>
        <w:spacing w:line="264" w:lineRule="auto"/>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2.实习生实习过程中的专业体现（个案/小组/社区社会工作等），请举例说明</w:t>
      </w:r>
    </w:p>
    <w:p w14:paraId="7B464F05">
      <w:pPr>
        <w:shd w:val="clear" w:color="auto" w:fill="auto"/>
        <w:spacing w:line="264" w:lineRule="auto"/>
        <w:ind w:firstLine="480" w:firstLineChars="200"/>
        <w:jc w:val="left"/>
        <w:rPr>
          <w:rFonts w:hint="eastAsia" w:ascii="仿宋" w:hAnsi="仿宋" w:eastAsia="仿宋" w:cs="仿宋"/>
          <w:bCs/>
          <w:color w:val="000000"/>
          <w:sz w:val="24"/>
          <w:szCs w:val="24"/>
          <w:highlight w:val="none"/>
        </w:rPr>
      </w:pPr>
    </w:p>
    <w:p w14:paraId="7DB051C4">
      <w:pPr>
        <w:shd w:val="clear" w:color="auto" w:fill="auto"/>
        <w:spacing w:line="264" w:lineRule="auto"/>
        <w:ind w:firstLine="480" w:firstLineChars="200"/>
        <w:jc w:val="left"/>
        <w:rPr>
          <w:rFonts w:hint="eastAsia" w:ascii="仿宋" w:hAnsi="仿宋" w:eastAsia="仿宋" w:cs="仿宋"/>
          <w:bCs/>
          <w:color w:val="000000"/>
          <w:sz w:val="24"/>
          <w:szCs w:val="24"/>
          <w:highlight w:val="none"/>
        </w:rPr>
      </w:pPr>
    </w:p>
    <w:p w14:paraId="74A51FE0">
      <w:pPr>
        <w:shd w:val="clear" w:color="auto" w:fill="auto"/>
        <w:spacing w:line="264" w:lineRule="auto"/>
        <w:ind w:firstLine="480" w:firstLineChars="200"/>
        <w:jc w:val="left"/>
        <w:rPr>
          <w:rFonts w:hint="eastAsia" w:ascii="仿宋" w:hAnsi="仿宋" w:eastAsia="仿宋" w:cs="仿宋"/>
          <w:bCs/>
          <w:color w:val="000000"/>
          <w:sz w:val="24"/>
          <w:szCs w:val="24"/>
          <w:highlight w:val="none"/>
        </w:rPr>
      </w:pPr>
    </w:p>
    <w:p w14:paraId="761A96F5">
      <w:pPr>
        <w:shd w:val="clear" w:color="auto" w:fill="auto"/>
        <w:spacing w:line="264" w:lineRule="auto"/>
        <w:ind w:firstLine="480" w:firstLineChars="200"/>
        <w:jc w:val="left"/>
        <w:rPr>
          <w:rFonts w:hint="eastAsia" w:ascii="仿宋" w:hAnsi="仿宋" w:eastAsia="仿宋" w:cs="仿宋"/>
          <w:bCs/>
          <w:color w:val="000000"/>
          <w:sz w:val="24"/>
          <w:szCs w:val="24"/>
          <w:highlight w:val="none"/>
        </w:rPr>
      </w:pPr>
    </w:p>
    <w:p w14:paraId="25CD3680">
      <w:pPr>
        <w:shd w:val="clear" w:color="auto" w:fill="auto"/>
        <w:spacing w:line="264" w:lineRule="auto"/>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3.实习生实习过程中的成功之处和不足之处在哪儿？你认为成功和失败的原因是什么？ 面对失败或所遇到的困难，你的想法是什么？你的责任督导给予了什么样的支持和帮助？</w:t>
      </w:r>
    </w:p>
    <w:p w14:paraId="06D58625">
      <w:pPr>
        <w:shd w:val="clear" w:color="auto" w:fill="auto"/>
        <w:spacing w:line="264" w:lineRule="auto"/>
        <w:jc w:val="left"/>
        <w:rPr>
          <w:rFonts w:hint="eastAsia" w:ascii="仿宋" w:hAnsi="仿宋" w:eastAsia="仿宋" w:cs="仿宋"/>
          <w:bCs/>
          <w:color w:val="000000"/>
          <w:sz w:val="24"/>
          <w:szCs w:val="24"/>
          <w:highlight w:val="none"/>
        </w:rPr>
      </w:pPr>
    </w:p>
    <w:p w14:paraId="15AD9709">
      <w:pPr>
        <w:shd w:val="clear" w:color="auto" w:fill="auto"/>
        <w:spacing w:line="264" w:lineRule="auto"/>
        <w:jc w:val="left"/>
        <w:rPr>
          <w:rFonts w:hint="eastAsia" w:ascii="仿宋" w:hAnsi="仿宋" w:eastAsia="仿宋" w:cs="仿宋"/>
          <w:bCs/>
          <w:color w:val="000000"/>
          <w:sz w:val="24"/>
          <w:szCs w:val="24"/>
          <w:highlight w:val="none"/>
        </w:rPr>
      </w:pPr>
    </w:p>
    <w:p w14:paraId="1535228C">
      <w:pPr>
        <w:shd w:val="clear" w:color="auto" w:fill="auto"/>
        <w:spacing w:line="264" w:lineRule="auto"/>
        <w:jc w:val="left"/>
        <w:rPr>
          <w:rFonts w:hint="eastAsia" w:ascii="仿宋" w:hAnsi="仿宋" w:eastAsia="仿宋" w:cs="仿宋"/>
          <w:bCs/>
          <w:color w:val="000000"/>
          <w:sz w:val="24"/>
          <w:szCs w:val="24"/>
          <w:highlight w:val="none"/>
        </w:rPr>
      </w:pPr>
    </w:p>
    <w:p w14:paraId="60322D70">
      <w:pPr>
        <w:shd w:val="clear" w:color="auto" w:fill="auto"/>
        <w:spacing w:line="264" w:lineRule="auto"/>
        <w:jc w:val="left"/>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4.实习生在服务对象和工作人员的沟通和团队合作方面的表现</w:t>
      </w:r>
    </w:p>
    <w:p w14:paraId="6A49A96F">
      <w:pPr>
        <w:shd w:val="clear" w:color="auto" w:fill="auto"/>
        <w:spacing w:line="264" w:lineRule="auto"/>
        <w:ind w:left="420"/>
        <w:rPr>
          <w:rFonts w:hint="eastAsia" w:ascii="仿宋" w:hAnsi="仿宋" w:eastAsia="仿宋" w:cs="仿宋"/>
          <w:bCs/>
          <w:color w:val="000000"/>
          <w:sz w:val="24"/>
          <w:szCs w:val="24"/>
          <w:highlight w:val="none"/>
        </w:rPr>
      </w:pPr>
    </w:p>
    <w:p w14:paraId="26559C79">
      <w:pPr>
        <w:shd w:val="clear" w:color="auto" w:fill="auto"/>
        <w:spacing w:line="264" w:lineRule="auto"/>
        <w:ind w:left="420"/>
        <w:rPr>
          <w:rFonts w:hint="eastAsia" w:ascii="仿宋" w:hAnsi="仿宋" w:eastAsia="仿宋" w:cs="仿宋"/>
          <w:bCs/>
          <w:color w:val="000000"/>
          <w:sz w:val="24"/>
          <w:szCs w:val="24"/>
          <w:highlight w:val="none"/>
        </w:rPr>
      </w:pPr>
    </w:p>
    <w:p w14:paraId="159FBC5C">
      <w:pPr>
        <w:shd w:val="clear" w:color="auto" w:fill="auto"/>
        <w:spacing w:line="264" w:lineRule="auto"/>
        <w:ind w:left="420"/>
        <w:rPr>
          <w:rFonts w:hint="eastAsia" w:ascii="仿宋" w:hAnsi="仿宋" w:eastAsia="仿宋" w:cs="仿宋"/>
          <w:bCs/>
          <w:color w:val="000000"/>
          <w:sz w:val="24"/>
          <w:szCs w:val="24"/>
          <w:highlight w:val="none"/>
        </w:rPr>
      </w:pPr>
    </w:p>
    <w:p w14:paraId="0C9FE350">
      <w:pPr>
        <w:shd w:val="clear" w:color="auto" w:fill="auto"/>
        <w:spacing w:line="264" w:lineRule="auto"/>
        <w:ind w:left="420"/>
        <w:rPr>
          <w:rFonts w:hint="eastAsia" w:ascii="仿宋" w:hAnsi="仿宋" w:eastAsia="仿宋" w:cs="仿宋"/>
          <w:bCs/>
          <w:color w:val="000000"/>
          <w:sz w:val="24"/>
          <w:szCs w:val="24"/>
          <w:highlight w:val="none"/>
        </w:rPr>
      </w:pPr>
    </w:p>
    <w:p w14:paraId="4574AA1A">
      <w:p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二、责任督导针对上述四点给予反馈</w:t>
      </w:r>
    </w:p>
    <w:p w14:paraId="39280941">
      <w:pPr>
        <w:shd w:val="clear" w:color="auto" w:fill="auto"/>
        <w:spacing w:line="264" w:lineRule="auto"/>
        <w:rPr>
          <w:rFonts w:hint="eastAsia" w:ascii="仿宋" w:hAnsi="仿宋" w:eastAsia="仿宋" w:cs="仿宋"/>
          <w:bCs/>
          <w:color w:val="000000"/>
          <w:sz w:val="24"/>
          <w:szCs w:val="24"/>
          <w:highlight w:val="none"/>
        </w:rPr>
      </w:pPr>
    </w:p>
    <w:p w14:paraId="33896621">
      <w:pPr>
        <w:shd w:val="clear" w:color="auto" w:fill="auto"/>
        <w:spacing w:line="264" w:lineRule="auto"/>
        <w:rPr>
          <w:rFonts w:hint="eastAsia" w:ascii="仿宋" w:hAnsi="仿宋" w:eastAsia="仿宋" w:cs="仿宋"/>
          <w:bCs/>
          <w:color w:val="000000"/>
          <w:sz w:val="24"/>
          <w:szCs w:val="24"/>
          <w:highlight w:val="none"/>
        </w:rPr>
      </w:pPr>
    </w:p>
    <w:p w14:paraId="16B57EA3">
      <w:pPr>
        <w:shd w:val="clear" w:color="auto" w:fill="auto"/>
        <w:spacing w:line="264" w:lineRule="auto"/>
        <w:rPr>
          <w:rFonts w:hint="eastAsia" w:ascii="仿宋" w:hAnsi="仿宋" w:eastAsia="仿宋" w:cs="仿宋"/>
          <w:bCs/>
          <w:color w:val="000000"/>
          <w:sz w:val="24"/>
          <w:szCs w:val="24"/>
          <w:highlight w:val="none"/>
        </w:rPr>
      </w:pPr>
    </w:p>
    <w:p w14:paraId="3DBCB8B8">
      <w:pPr>
        <w:shd w:val="clear" w:color="auto" w:fill="auto"/>
        <w:spacing w:line="264" w:lineRule="auto"/>
        <w:rPr>
          <w:rFonts w:hint="eastAsia" w:ascii="仿宋" w:hAnsi="仿宋" w:eastAsia="仿宋" w:cs="仿宋"/>
          <w:bCs/>
          <w:color w:val="000000"/>
          <w:sz w:val="24"/>
          <w:szCs w:val="24"/>
          <w:highlight w:val="none"/>
        </w:rPr>
      </w:pPr>
    </w:p>
    <w:p w14:paraId="14FC7493">
      <w:p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三、责任督导对实习生的综合评价</w:t>
      </w:r>
    </w:p>
    <w:p w14:paraId="14C0F83B">
      <w:pPr>
        <w:shd w:val="clear" w:color="auto" w:fill="auto"/>
        <w:spacing w:line="264" w:lineRule="auto"/>
        <w:rPr>
          <w:rFonts w:hint="eastAsia" w:ascii="仿宋" w:hAnsi="仿宋" w:eastAsia="仿宋" w:cs="仿宋"/>
          <w:bCs/>
          <w:color w:val="000000"/>
          <w:sz w:val="24"/>
          <w:szCs w:val="24"/>
          <w:highlight w:val="none"/>
        </w:rPr>
      </w:pPr>
    </w:p>
    <w:p w14:paraId="2AA9476D">
      <w:pPr>
        <w:shd w:val="clear" w:color="auto" w:fill="auto"/>
        <w:spacing w:line="264" w:lineRule="auto"/>
        <w:rPr>
          <w:rFonts w:hint="eastAsia" w:ascii="仿宋" w:hAnsi="仿宋" w:eastAsia="仿宋" w:cs="仿宋"/>
          <w:bCs/>
          <w:color w:val="000000"/>
          <w:sz w:val="24"/>
          <w:szCs w:val="24"/>
          <w:highlight w:val="none"/>
        </w:rPr>
      </w:pPr>
    </w:p>
    <w:p w14:paraId="6EEA8CCB">
      <w:pPr>
        <w:shd w:val="clear" w:color="auto" w:fill="auto"/>
        <w:spacing w:line="264" w:lineRule="auto"/>
        <w:rPr>
          <w:rFonts w:hint="eastAsia" w:ascii="仿宋" w:hAnsi="仿宋" w:eastAsia="仿宋" w:cs="仿宋"/>
          <w:bCs/>
          <w:color w:val="000000"/>
          <w:sz w:val="24"/>
          <w:szCs w:val="24"/>
          <w:highlight w:val="none"/>
        </w:rPr>
      </w:pPr>
    </w:p>
    <w:p w14:paraId="23777A88">
      <w:pPr>
        <w:shd w:val="clear" w:color="auto" w:fill="auto"/>
        <w:spacing w:line="264" w:lineRule="auto"/>
        <w:rPr>
          <w:rFonts w:hint="eastAsia" w:ascii="仿宋" w:hAnsi="仿宋" w:eastAsia="仿宋" w:cs="仿宋"/>
          <w:bCs/>
          <w:color w:val="000000"/>
          <w:sz w:val="24"/>
          <w:szCs w:val="24"/>
          <w:highlight w:val="none"/>
        </w:rPr>
      </w:pPr>
    </w:p>
    <w:p w14:paraId="6F28915B">
      <w:pPr>
        <w:shd w:val="clear" w:color="auto" w:fill="auto"/>
        <w:spacing w:line="264"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四、总督导总结（包括实习生的评估）</w:t>
      </w:r>
    </w:p>
    <w:p w14:paraId="5CCFD45A">
      <w:pPr>
        <w:shd w:val="clear" w:color="auto" w:fill="auto"/>
        <w:spacing w:line="480" w:lineRule="auto"/>
        <w:rPr>
          <w:rFonts w:hint="eastAsia" w:ascii="仿宋" w:hAnsi="仿宋" w:eastAsia="仿宋" w:cs="仿宋"/>
          <w:bCs/>
          <w:color w:val="000000"/>
          <w:sz w:val="24"/>
          <w:szCs w:val="24"/>
          <w:highlight w:val="none"/>
        </w:rPr>
      </w:pPr>
    </w:p>
    <w:p w14:paraId="5A7B37E2">
      <w:pPr>
        <w:shd w:val="clear" w:color="auto" w:fill="auto"/>
        <w:spacing w:line="480" w:lineRule="auto"/>
        <w:rPr>
          <w:rFonts w:hint="eastAsia" w:ascii="仿宋" w:hAnsi="仿宋" w:eastAsia="仿宋" w:cs="仿宋"/>
          <w:b/>
          <w:bCs/>
          <w:color w:val="000000"/>
          <w:sz w:val="24"/>
          <w:szCs w:val="24"/>
          <w:highlight w:val="none"/>
        </w:rPr>
      </w:pPr>
    </w:p>
    <w:p w14:paraId="1A5BC4C0">
      <w:pPr>
        <w:shd w:val="clear" w:color="auto" w:fill="auto"/>
        <w:spacing w:line="480" w:lineRule="auto"/>
        <w:rPr>
          <w:rFonts w:hint="eastAsia" w:ascii="仿宋" w:hAnsi="仿宋" w:eastAsia="仿宋" w:cs="仿宋"/>
          <w:b/>
          <w:bCs/>
          <w:color w:val="000000"/>
          <w:sz w:val="24"/>
          <w:szCs w:val="24"/>
          <w:highlight w:val="none"/>
        </w:rPr>
      </w:pPr>
    </w:p>
    <w:p w14:paraId="545BCA50">
      <w:pPr>
        <w:numPr>
          <w:ilvl w:val="0"/>
          <w:numId w:val="0"/>
        </w:numPr>
        <w:shd w:val="clear" w:color="auto" w:fill="auto"/>
        <w:spacing w:line="48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lang w:val="en-US" w:eastAsia="zh-CN"/>
        </w:rPr>
        <w:t>九、</w:t>
      </w:r>
      <w:r>
        <w:rPr>
          <w:rFonts w:hint="eastAsia" w:ascii="仿宋" w:hAnsi="仿宋" w:eastAsia="仿宋" w:cs="仿宋"/>
          <w:b/>
          <w:bCs/>
          <w:color w:val="000000"/>
          <w:sz w:val="32"/>
          <w:szCs w:val="28"/>
          <w:highlight w:val="none"/>
        </w:rPr>
        <w:t>实习生的评估</w:t>
      </w:r>
    </w:p>
    <w:p w14:paraId="767DD129">
      <w:pPr>
        <w:shd w:val="clear" w:color="auto" w:fill="auto"/>
        <w:spacing w:line="480" w:lineRule="auto"/>
        <w:jc w:val="center"/>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lang w:eastAsia="zh-CN"/>
        </w:rPr>
        <w:t>青海省青海湖生态保护基金会</w:t>
      </w:r>
      <w:r>
        <w:rPr>
          <w:rFonts w:hint="eastAsia" w:ascii="仿宋" w:hAnsi="仿宋" w:eastAsia="仿宋" w:cs="仿宋"/>
          <w:b/>
          <w:bCs/>
          <w:color w:val="000000"/>
          <w:sz w:val="32"/>
          <w:szCs w:val="28"/>
          <w:highlight w:val="none"/>
        </w:rPr>
        <w:t>实习生评估表</w:t>
      </w:r>
    </w:p>
    <w:tbl>
      <w:tblPr>
        <w:tblStyle w:val="4"/>
        <w:tblW w:w="0" w:type="auto"/>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6166"/>
        <w:gridCol w:w="984"/>
        <w:gridCol w:w="891"/>
      </w:tblGrid>
      <w:tr w14:paraId="5FEC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349774B7">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编号</w:t>
            </w:r>
          </w:p>
        </w:tc>
        <w:tc>
          <w:tcPr>
            <w:tcW w:w="6166" w:type="dxa"/>
            <w:noWrap w:val="0"/>
            <w:vAlign w:val="top"/>
          </w:tcPr>
          <w:p w14:paraId="24A15F8A">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评估分类</w:t>
            </w:r>
          </w:p>
        </w:tc>
        <w:tc>
          <w:tcPr>
            <w:tcW w:w="984" w:type="dxa"/>
            <w:noWrap w:val="0"/>
            <w:vAlign w:val="top"/>
          </w:tcPr>
          <w:p w14:paraId="46B04AEC">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满分</w:t>
            </w:r>
          </w:p>
        </w:tc>
        <w:tc>
          <w:tcPr>
            <w:tcW w:w="891" w:type="dxa"/>
            <w:noWrap w:val="0"/>
            <w:vAlign w:val="top"/>
          </w:tcPr>
          <w:p w14:paraId="083A9BA1">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得分</w:t>
            </w:r>
          </w:p>
        </w:tc>
      </w:tr>
      <w:tr w14:paraId="100F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64705437">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1</w:t>
            </w:r>
          </w:p>
        </w:tc>
        <w:tc>
          <w:tcPr>
            <w:tcW w:w="6166" w:type="dxa"/>
            <w:noWrap w:val="0"/>
            <w:vAlign w:val="top"/>
          </w:tcPr>
          <w:p w14:paraId="1CBBB677">
            <w:pPr>
              <w:shd w:val="clear" w:color="auto" w:fill="auto"/>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遵守机构的规章制度，按时上下班，不早退迟到</w:t>
            </w:r>
          </w:p>
        </w:tc>
        <w:tc>
          <w:tcPr>
            <w:tcW w:w="984" w:type="dxa"/>
            <w:noWrap w:val="0"/>
            <w:vAlign w:val="top"/>
          </w:tcPr>
          <w:p w14:paraId="1282202D">
            <w:pPr>
              <w:shd w:val="clear" w:color="auto" w:fill="auto"/>
              <w:spacing w:line="48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891" w:type="dxa"/>
            <w:noWrap w:val="0"/>
            <w:vAlign w:val="top"/>
          </w:tcPr>
          <w:p w14:paraId="7552F8FD">
            <w:pPr>
              <w:shd w:val="clear" w:color="auto" w:fill="auto"/>
              <w:spacing w:line="480" w:lineRule="auto"/>
              <w:jc w:val="center"/>
              <w:rPr>
                <w:rFonts w:hint="eastAsia" w:ascii="仿宋" w:hAnsi="仿宋" w:eastAsia="仿宋" w:cs="仿宋"/>
                <w:color w:val="000000"/>
                <w:sz w:val="24"/>
                <w:highlight w:val="none"/>
              </w:rPr>
            </w:pPr>
          </w:p>
        </w:tc>
      </w:tr>
      <w:tr w14:paraId="605A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6254AABF">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2</w:t>
            </w:r>
          </w:p>
        </w:tc>
        <w:tc>
          <w:tcPr>
            <w:tcW w:w="6166" w:type="dxa"/>
            <w:noWrap w:val="0"/>
            <w:vAlign w:val="top"/>
          </w:tcPr>
          <w:p w14:paraId="3781B4C1">
            <w:pPr>
              <w:shd w:val="clear" w:color="auto" w:fill="auto"/>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积极实施实习计划、服从机构安排</w:t>
            </w:r>
          </w:p>
        </w:tc>
        <w:tc>
          <w:tcPr>
            <w:tcW w:w="984" w:type="dxa"/>
            <w:noWrap w:val="0"/>
            <w:vAlign w:val="top"/>
          </w:tcPr>
          <w:p w14:paraId="640FA6FB">
            <w:pPr>
              <w:shd w:val="clear" w:color="auto" w:fill="auto"/>
              <w:spacing w:line="48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891" w:type="dxa"/>
            <w:noWrap w:val="0"/>
            <w:vAlign w:val="top"/>
          </w:tcPr>
          <w:p w14:paraId="30D5CF5A">
            <w:pPr>
              <w:shd w:val="clear" w:color="auto" w:fill="auto"/>
              <w:spacing w:line="480" w:lineRule="auto"/>
              <w:jc w:val="center"/>
              <w:rPr>
                <w:rFonts w:hint="eastAsia" w:ascii="仿宋" w:hAnsi="仿宋" w:eastAsia="仿宋" w:cs="仿宋"/>
                <w:color w:val="000000"/>
                <w:sz w:val="24"/>
                <w:highlight w:val="none"/>
              </w:rPr>
            </w:pPr>
          </w:p>
        </w:tc>
      </w:tr>
      <w:tr w14:paraId="51A4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4778AC05">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3</w:t>
            </w:r>
          </w:p>
        </w:tc>
        <w:tc>
          <w:tcPr>
            <w:tcW w:w="6166" w:type="dxa"/>
            <w:noWrap w:val="0"/>
            <w:vAlign w:val="top"/>
          </w:tcPr>
          <w:p w14:paraId="55B55903">
            <w:pPr>
              <w:shd w:val="clear" w:color="auto" w:fill="auto"/>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建立良好的工作关系，并能向机构提供改进意见</w:t>
            </w:r>
          </w:p>
        </w:tc>
        <w:tc>
          <w:tcPr>
            <w:tcW w:w="984" w:type="dxa"/>
            <w:noWrap w:val="0"/>
            <w:vAlign w:val="top"/>
          </w:tcPr>
          <w:p w14:paraId="0A0E83F6">
            <w:pPr>
              <w:shd w:val="clear" w:color="auto" w:fill="auto"/>
              <w:spacing w:line="48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891" w:type="dxa"/>
            <w:noWrap w:val="0"/>
            <w:vAlign w:val="top"/>
          </w:tcPr>
          <w:p w14:paraId="72673DF0">
            <w:pPr>
              <w:shd w:val="clear" w:color="auto" w:fill="auto"/>
              <w:spacing w:line="480" w:lineRule="auto"/>
              <w:jc w:val="center"/>
              <w:rPr>
                <w:rFonts w:hint="eastAsia" w:ascii="仿宋" w:hAnsi="仿宋" w:eastAsia="仿宋" w:cs="仿宋"/>
                <w:color w:val="000000"/>
                <w:sz w:val="24"/>
                <w:highlight w:val="none"/>
              </w:rPr>
            </w:pPr>
          </w:p>
        </w:tc>
      </w:tr>
      <w:tr w14:paraId="4466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180A2C23">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4</w:t>
            </w:r>
          </w:p>
        </w:tc>
        <w:tc>
          <w:tcPr>
            <w:tcW w:w="6166" w:type="dxa"/>
            <w:noWrap w:val="0"/>
            <w:vAlign w:val="top"/>
          </w:tcPr>
          <w:p w14:paraId="4E1C662F">
            <w:pPr>
              <w:shd w:val="clear" w:color="auto" w:fill="auto"/>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无论什么情况，都能完成规定的工作量</w:t>
            </w:r>
          </w:p>
        </w:tc>
        <w:tc>
          <w:tcPr>
            <w:tcW w:w="984" w:type="dxa"/>
            <w:noWrap w:val="0"/>
            <w:vAlign w:val="top"/>
          </w:tcPr>
          <w:p w14:paraId="20A79F0B">
            <w:pPr>
              <w:shd w:val="clear" w:color="auto" w:fill="auto"/>
              <w:spacing w:line="48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891" w:type="dxa"/>
            <w:noWrap w:val="0"/>
            <w:vAlign w:val="top"/>
          </w:tcPr>
          <w:p w14:paraId="7AE10063">
            <w:pPr>
              <w:shd w:val="clear" w:color="auto" w:fill="auto"/>
              <w:spacing w:line="480" w:lineRule="auto"/>
              <w:jc w:val="center"/>
              <w:rPr>
                <w:rFonts w:hint="eastAsia" w:ascii="仿宋" w:hAnsi="仿宋" w:eastAsia="仿宋" w:cs="仿宋"/>
                <w:color w:val="000000"/>
                <w:sz w:val="24"/>
                <w:highlight w:val="none"/>
              </w:rPr>
            </w:pPr>
          </w:p>
        </w:tc>
      </w:tr>
      <w:tr w14:paraId="4AAC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5915C299">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5</w:t>
            </w:r>
          </w:p>
        </w:tc>
        <w:tc>
          <w:tcPr>
            <w:tcW w:w="6166" w:type="dxa"/>
            <w:noWrap w:val="0"/>
            <w:vAlign w:val="top"/>
          </w:tcPr>
          <w:p w14:paraId="7D050147">
            <w:pPr>
              <w:shd w:val="clear" w:color="auto" w:fill="auto"/>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不怕脏、不怕累、不怕苦，能够对其他人起榜样作用</w:t>
            </w:r>
          </w:p>
        </w:tc>
        <w:tc>
          <w:tcPr>
            <w:tcW w:w="984" w:type="dxa"/>
            <w:noWrap w:val="0"/>
            <w:vAlign w:val="top"/>
          </w:tcPr>
          <w:p w14:paraId="154E719F">
            <w:pPr>
              <w:shd w:val="clear" w:color="auto" w:fill="auto"/>
              <w:spacing w:line="48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891" w:type="dxa"/>
            <w:noWrap w:val="0"/>
            <w:vAlign w:val="top"/>
          </w:tcPr>
          <w:p w14:paraId="01AE616D">
            <w:pPr>
              <w:shd w:val="clear" w:color="auto" w:fill="auto"/>
              <w:spacing w:line="480" w:lineRule="auto"/>
              <w:jc w:val="center"/>
              <w:rPr>
                <w:rFonts w:hint="eastAsia" w:ascii="仿宋" w:hAnsi="仿宋" w:eastAsia="仿宋" w:cs="仿宋"/>
                <w:color w:val="000000"/>
                <w:sz w:val="24"/>
                <w:highlight w:val="none"/>
              </w:rPr>
            </w:pPr>
          </w:p>
        </w:tc>
      </w:tr>
      <w:tr w14:paraId="3F4C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227CA5B9">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6</w:t>
            </w:r>
          </w:p>
        </w:tc>
        <w:tc>
          <w:tcPr>
            <w:tcW w:w="6166" w:type="dxa"/>
            <w:noWrap w:val="0"/>
            <w:vAlign w:val="top"/>
          </w:tcPr>
          <w:p w14:paraId="1328FF03">
            <w:pPr>
              <w:shd w:val="clear" w:color="auto" w:fill="auto"/>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能够与其他工作人员有效的配合，并共同完成工作目标</w:t>
            </w:r>
          </w:p>
        </w:tc>
        <w:tc>
          <w:tcPr>
            <w:tcW w:w="984" w:type="dxa"/>
            <w:noWrap w:val="0"/>
            <w:vAlign w:val="top"/>
          </w:tcPr>
          <w:p w14:paraId="1C8242F8">
            <w:pPr>
              <w:shd w:val="clear" w:color="auto" w:fill="auto"/>
              <w:spacing w:line="48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891" w:type="dxa"/>
            <w:noWrap w:val="0"/>
            <w:vAlign w:val="top"/>
          </w:tcPr>
          <w:p w14:paraId="4EE28D2C">
            <w:pPr>
              <w:shd w:val="clear" w:color="auto" w:fill="auto"/>
              <w:spacing w:line="480" w:lineRule="auto"/>
              <w:jc w:val="center"/>
              <w:rPr>
                <w:rFonts w:hint="eastAsia" w:ascii="仿宋" w:hAnsi="仿宋" w:eastAsia="仿宋" w:cs="仿宋"/>
                <w:color w:val="000000"/>
                <w:sz w:val="24"/>
                <w:highlight w:val="none"/>
              </w:rPr>
            </w:pPr>
          </w:p>
        </w:tc>
      </w:tr>
      <w:tr w14:paraId="0828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7018D3B2">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7</w:t>
            </w:r>
          </w:p>
        </w:tc>
        <w:tc>
          <w:tcPr>
            <w:tcW w:w="6166" w:type="dxa"/>
            <w:noWrap w:val="0"/>
            <w:vAlign w:val="top"/>
          </w:tcPr>
          <w:p w14:paraId="7A7BC160">
            <w:pPr>
              <w:shd w:val="clear" w:color="auto" w:fill="auto"/>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能经常与机构工作人员分享和交流</w:t>
            </w:r>
          </w:p>
        </w:tc>
        <w:tc>
          <w:tcPr>
            <w:tcW w:w="984" w:type="dxa"/>
            <w:noWrap w:val="0"/>
            <w:vAlign w:val="top"/>
          </w:tcPr>
          <w:p w14:paraId="28E6F3E2">
            <w:pPr>
              <w:shd w:val="clear" w:color="auto" w:fill="auto"/>
              <w:spacing w:line="48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891" w:type="dxa"/>
            <w:noWrap w:val="0"/>
            <w:vAlign w:val="top"/>
          </w:tcPr>
          <w:p w14:paraId="674DAB48">
            <w:pPr>
              <w:shd w:val="clear" w:color="auto" w:fill="auto"/>
              <w:spacing w:line="480" w:lineRule="auto"/>
              <w:jc w:val="center"/>
              <w:rPr>
                <w:rFonts w:hint="eastAsia" w:ascii="仿宋" w:hAnsi="仿宋" w:eastAsia="仿宋" w:cs="仿宋"/>
                <w:color w:val="000000"/>
                <w:sz w:val="24"/>
                <w:highlight w:val="none"/>
              </w:rPr>
            </w:pPr>
          </w:p>
        </w:tc>
      </w:tr>
      <w:tr w14:paraId="1352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74CF7608">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8</w:t>
            </w:r>
          </w:p>
        </w:tc>
        <w:tc>
          <w:tcPr>
            <w:tcW w:w="6166" w:type="dxa"/>
            <w:noWrap w:val="0"/>
            <w:vAlign w:val="top"/>
          </w:tcPr>
          <w:p w14:paraId="0C66C134">
            <w:pPr>
              <w:shd w:val="clear" w:color="auto" w:fill="auto"/>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主动开展工作，积极发掘资源，并用于开展服务而</w:t>
            </w:r>
          </w:p>
        </w:tc>
        <w:tc>
          <w:tcPr>
            <w:tcW w:w="984" w:type="dxa"/>
            <w:noWrap w:val="0"/>
            <w:vAlign w:val="top"/>
          </w:tcPr>
          <w:p w14:paraId="33BD7F4E">
            <w:pPr>
              <w:shd w:val="clear" w:color="auto" w:fill="auto"/>
              <w:spacing w:line="48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891" w:type="dxa"/>
            <w:noWrap w:val="0"/>
            <w:vAlign w:val="top"/>
          </w:tcPr>
          <w:p w14:paraId="517A55C0">
            <w:pPr>
              <w:shd w:val="clear" w:color="auto" w:fill="auto"/>
              <w:spacing w:line="480" w:lineRule="auto"/>
              <w:jc w:val="center"/>
              <w:rPr>
                <w:rFonts w:hint="eastAsia" w:ascii="仿宋" w:hAnsi="仿宋" w:eastAsia="仿宋" w:cs="仿宋"/>
                <w:color w:val="000000"/>
                <w:sz w:val="24"/>
                <w:highlight w:val="none"/>
              </w:rPr>
            </w:pPr>
          </w:p>
        </w:tc>
      </w:tr>
      <w:tr w14:paraId="2476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7AAB8E7A">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9</w:t>
            </w:r>
          </w:p>
        </w:tc>
        <w:tc>
          <w:tcPr>
            <w:tcW w:w="6166" w:type="dxa"/>
            <w:noWrap w:val="0"/>
            <w:vAlign w:val="top"/>
          </w:tcPr>
          <w:p w14:paraId="34ADEA13">
            <w:pPr>
              <w:shd w:val="clear" w:color="auto" w:fill="auto"/>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运用专业理念和手法开展服务</w:t>
            </w:r>
          </w:p>
        </w:tc>
        <w:tc>
          <w:tcPr>
            <w:tcW w:w="984" w:type="dxa"/>
            <w:noWrap w:val="0"/>
            <w:vAlign w:val="top"/>
          </w:tcPr>
          <w:p w14:paraId="4E827772">
            <w:pPr>
              <w:shd w:val="clear" w:color="auto" w:fill="auto"/>
              <w:spacing w:line="48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891" w:type="dxa"/>
            <w:noWrap w:val="0"/>
            <w:vAlign w:val="top"/>
          </w:tcPr>
          <w:p w14:paraId="7DA859CA">
            <w:pPr>
              <w:shd w:val="clear" w:color="auto" w:fill="auto"/>
              <w:spacing w:line="480" w:lineRule="auto"/>
              <w:jc w:val="center"/>
              <w:rPr>
                <w:rFonts w:hint="eastAsia" w:ascii="仿宋" w:hAnsi="仿宋" w:eastAsia="仿宋" w:cs="仿宋"/>
                <w:color w:val="000000"/>
                <w:sz w:val="24"/>
                <w:highlight w:val="none"/>
              </w:rPr>
            </w:pPr>
          </w:p>
        </w:tc>
      </w:tr>
      <w:tr w14:paraId="7E369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19749764">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10</w:t>
            </w:r>
          </w:p>
        </w:tc>
        <w:tc>
          <w:tcPr>
            <w:tcW w:w="6166" w:type="dxa"/>
            <w:noWrap w:val="0"/>
            <w:vAlign w:val="top"/>
          </w:tcPr>
          <w:p w14:paraId="3EBC0A39">
            <w:pPr>
              <w:shd w:val="clear" w:color="auto" w:fill="auto"/>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完成规定的实习时数</w:t>
            </w:r>
          </w:p>
        </w:tc>
        <w:tc>
          <w:tcPr>
            <w:tcW w:w="984" w:type="dxa"/>
            <w:noWrap w:val="0"/>
            <w:vAlign w:val="top"/>
          </w:tcPr>
          <w:p w14:paraId="0FFC0565">
            <w:pPr>
              <w:shd w:val="clear" w:color="auto" w:fill="auto"/>
              <w:spacing w:line="480"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10</w:t>
            </w:r>
          </w:p>
        </w:tc>
        <w:tc>
          <w:tcPr>
            <w:tcW w:w="891" w:type="dxa"/>
            <w:noWrap w:val="0"/>
            <w:vAlign w:val="top"/>
          </w:tcPr>
          <w:p w14:paraId="699118BC">
            <w:pPr>
              <w:shd w:val="clear" w:color="auto" w:fill="auto"/>
              <w:spacing w:line="480" w:lineRule="auto"/>
              <w:jc w:val="center"/>
              <w:rPr>
                <w:rFonts w:hint="eastAsia" w:ascii="仿宋" w:hAnsi="仿宋" w:eastAsia="仿宋" w:cs="仿宋"/>
                <w:color w:val="000000"/>
                <w:sz w:val="24"/>
                <w:highlight w:val="none"/>
              </w:rPr>
            </w:pPr>
          </w:p>
        </w:tc>
      </w:tr>
      <w:tr w14:paraId="0601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noWrap w:val="0"/>
            <w:vAlign w:val="top"/>
          </w:tcPr>
          <w:p w14:paraId="79EEBBE6">
            <w:pPr>
              <w:shd w:val="clear" w:color="auto" w:fill="auto"/>
              <w:spacing w:line="48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11</w:t>
            </w:r>
          </w:p>
        </w:tc>
        <w:tc>
          <w:tcPr>
            <w:tcW w:w="7150" w:type="dxa"/>
            <w:gridSpan w:val="2"/>
            <w:noWrap w:val="0"/>
            <w:vAlign w:val="top"/>
          </w:tcPr>
          <w:p w14:paraId="22B138EC">
            <w:pPr>
              <w:shd w:val="clear" w:color="auto" w:fill="auto"/>
              <w:spacing w:line="48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督导评分</w:t>
            </w:r>
          </w:p>
        </w:tc>
        <w:tc>
          <w:tcPr>
            <w:tcW w:w="891" w:type="dxa"/>
            <w:noWrap w:val="0"/>
            <w:vAlign w:val="top"/>
          </w:tcPr>
          <w:p w14:paraId="01195DBF">
            <w:pPr>
              <w:shd w:val="clear" w:color="auto" w:fill="auto"/>
              <w:spacing w:line="480" w:lineRule="auto"/>
              <w:jc w:val="center"/>
              <w:rPr>
                <w:rFonts w:hint="eastAsia" w:ascii="仿宋" w:hAnsi="仿宋" w:eastAsia="仿宋" w:cs="仿宋"/>
                <w:color w:val="000000"/>
                <w:sz w:val="24"/>
                <w:highlight w:val="none"/>
              </w:rPr>
            </w:pPr>
          </w:p>
        </w:tc>
      </w:tr>
      <w:tr w14:paraId="041B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8975" w:type="dxa"/>
            <w:gridSpan w:val="4"/>
            <w:noWrap w:val="0"/>
            <w:vAlign w:val="top"/>
          </w:tcPr>
          <w:p w14:paraId="75EE2F66">
            <w:pPr>
              <w:shd w:val="clear" w:color="auto" w:fill="auto"/>
              <w:spacing w:line="480" w:lineRule="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督导评语</w:t>
            </w:r>
          </w:p>
          <w:p w14:paraId="5F973596">
            <w:pPr>
              <w:shd w:val="clear" w:color="auto" w:fill="auto"/>
              <w:spacing w:line="480" w:lineRule="auto"/>
              <w:rPr>
                <w:rFonts w:hint="eastAsia" w:ascii="仿宋" w:hAnsi="仿宋" w:eastAsia="仿宋" w:cs="仿宋"/>
                <w:b/>
                <w:bCs/>
                <w:color w:val="000000"/>
                <w:sz w:val="24"/>
                <w:highlight w:val="none"/>
              </w:rPr>
            </w:pPr>
          </w:p>
          <w:p w14:paraId="364FEE9E">
            <w:pPr>
              <w:shd w:val="clear" w:color="auto" w:fill="auto"/>
              <w:spacing w:line="480" w:lineRule="auto"/>
              <w:rPr>
                <w:rFonts w:hint="eastAsia" w:ascii="仿宋" w:hAnsi="仿宋" w:eastAsia="仿宋" w:cs="仿宋"/>
                <w:b/>
                <w:bCs/>
                <w:color w:val="000000"/>
                <w:sz w:val="24"/>
                <w:highlight w:val="none"/>
              </w:rPr>
            </w:pPr>
          </w:p>
          <w:p w14:paraId="625116AC">
            <w:pPr>
              <w:shd w:val="clear" w:color="auto" w:fill="auto"/>
              <w:spacing w:line="480" w:lineRule="auto"/>
              <w:rPr>
                <w:rFonts w:hint="eastAsia" w:ascii="仿宋" w:hAnsi="仿宋" w:eastAsia="仿宋" w:cs="仿宋"/>
                <w:b/>
                <w:bCs/>
                <w:color w:val="000000"/>
                <w:sz w:val="24"/>
                <w:highlight w:val="none"/>
              </w:rPr>
            </w:pPr>
          </w:p>
          <w:p w14:paraId="48DDCC6E">
            <w:pPr>
              <w:shd w:val="clear" w:color="auto" w:fill="auto"/>
              <w:spacing w:line="480" w:lineRule="auto"/>
              <w:rPr>
                <w:rFonts w:hint="eastAsia" w:ascii="仿宋" w:hAnsi="仿宋" w:eastAsia="仿宋" w:cs="仿宋"/>
                <w:b/>
                <w:bCs/>
                <w:color w:val="000000"/>
                <w:sz w:val="24"/>
                <w:highlight w:val="none"/>
              </w:rPr>
            </w:pPr>
          </w:p>
          <w:p w14:paraId="1686A347">
            <w:pPr>
              <w:shd w:val="clear" w:color="auto" w:fill="auto"/>
              <w:spacing w:line="480" w:lineRule="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 xml:space="preserve">                                      督导签字：</w:t>
            </w:r>
          </w:p>
          <w:p w14:paraId="57D5E3FD">
            <w:pPr>
              <w:shd w:val="clear" w:color="auto" w:fill="auto"/>
              <w:spacing w:line="480" w:lineRule="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 xml:space="preserve">                                      日    期：</w:t>
            </w:r>
          </w:p>
        </w:tc>
      </w:tr>
    </w:tbl>
    <w:p w14:paraId="05DB997D">
      <w:pPr>
        <w:shd w:val="clear" w:color="auto" w:fill="auto"/>
        <w:spacing w:line="480" w:lineRule="auto"/>
        <w:rPr>
          <w:rFonts w:hint="eastAsia" w:ascii="仿宋" w:hAnsi="仿宋" w:eastAsia="仿宋" w:cs="仿宋"/>
          <w:b/>
          <w:bCs/>
          <w:color w:val="000000"/>
          <w:sz w:val="32"/>
          <w:szCs w:val="28"/>
          <w:highlight w:val="none"/>
        </w:rPr>
      </w:pPr>
    </w:p>
    <w:p w14:paraId="4E3CED61">
      <w:pPr>
        <w:shd w:val="clear" w:color="auto" w:fill="auto"/>
        <w:spacing w:line="48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rPr>
        <w:t>十、实习总结报告</w:t>
      </w:r>
    </w:p>
    <w:p w14:paraId="01B52CE7">
      <w:pPr>
        <w:shd w:val="clear" w:color="auto" w:fill="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 xml:space="preserve"> </w:t>
      </w:r>
      <w:r>
        <w:rPr>
          <w:rFonts w:hint="eastAsia" w:ascii="仿宋" w:hAnsi="仿宋" w:eastAsia="仿宋" w:cs="仿宋"/>
          <w:b/>
          <w:bCs/>
          <w:color w:val="000000"/>
          <w:sz w:val="32"/>
          <w:szCs w:val="32"/>
          <w:highlight w:val="none"/>
          <w:lang w:eastAsia="zh-CN"/>
        </w:rPr>
        <w:t>青海省青海湖生态保护基金会</w:t>
      </w:r>
      <w:r>
        <w:rPr>
          <w:rFonts w:hint="eastAsia" w:ascii="仿宋" w:hAnsi="仿宋" w:eastAsia="仿宋" w:cs="仿宋"/>
          <w:b/>
          <w:bCs/>
          <w:color w:val="000000"/>
          <w:sz w:val="32"/>
          <w:szCs w:val="32"/>
          <w:highlight w:val="none"/>
        </w:rPr>
        <w:t>实习生总结报告</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7018"/>
      </w:tblGrid>
      <w:tr w14:paraId="1226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5E0F7346">
            <w:pPr>
              <w:shd w:val="clear" w:color="auto" w:fill="auto"/>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实习生姓名</w:t>
            </w:r>
          </w:p>
        </w:tc>
        <w:tc>
          <w:tcPr>
            <w:tcW w:w="7018" w:type="dxa"/>
            <w:noWrap w:val="0"/>
            <w:vAlign w:val="top"/>
          </w:tcPr>
          <w:p w14:paraId="2E30935E">
            <w:pPr>
              <w:shd w:val="clear" w:color="auto" w:fill="auto"/>
              <w:spacing w:line="360" w:lineRule="auto"/>
              <w:rPr>
                <w:rFonts w:hint="eastAsia" w:ascii="仿宋" w:hAnsi="仿宋" w:eastAsia="仿宋" w:cs="仿宋"/>
                <w:b/>
                <w:bCs/>
                <w:color w:val="000000"/>
                <w:sz w:val="24"/>
                <w:szCs w:val="24"/>
                <w:highlight w:val="none"/>
              </w:rPr>
            </w:pPr>
          </w:p>
        </w:tc>
      </w:tr>
      <w:tr w14:paraId="636E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1AF8A034">
            <w:pPr>
              <w:shd w:val="clear" w:color="auto" w:fill="auto"/>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实习岗位</w:t>
            </w:r>
          </w:p>
        </w:tc>
        <w:tc>
          <w:tcPr>
            <w:tcW w:w="7018" w:type="dxa"/>
            <w:noWrap w:val="0"/>
            <w:vAlign w:val="top"/>
          </w:tcPr>
          <w:p w14:paraId="1C76AEA9">
            <w:pPr>
              <w:shd w:val="clear" w:color="auto" w:fill="auto"/>
              <w:spacing w:line="360" w:lineRule="auto"/>
              <w:rPr>
                <w:rFonts w:hint="eastAsia" w:ascii="仿宋" w:hAnsi="仿宋" w:eastAsia="仿宋" w:cs="仿宋"/>
                <w:b/>
                <w:bCs/>
                <w:color w:val="000000"/>
                <w:sz w:val="24"/>
                <w:szCs w:val="24"/>
                <w:highlight w:val="none"/>
              </w:rPr>
            </w:pPr>
          </w:p>
        </w:tc>
      </w:tr>
      <w:tr w14:paraId="3D38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05FA67CD">
            <w:pPr>
              <w:shd w:val="clear" w:color="auto" w:fill="auto"/>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督导姓名</w:t>
            </w:r>
          </w:p>
        </w:tc>
        <w:tc>
          <w:tcPr>
            <w:tcW w:w="7018" w:type="dxa"/>
            <w:noWrap w:val="0"/>
            <w:vAlign w:val="top"/>
          </w:tcPr>
          <w:p w14:paraId="03312EBB">
            <w:pPr>
              <w:shd w:val="clear" w:color="auto" w:fill="auto"/>
              <w:spacing w:line="360" w:lineRule="auto"/>
              <w:rPr>
                <w:rFonts w:hint="eastAsia" w:ascii="仿宋" w:hAnsi="仿宋" w:eastAsia="仿宋" w:cs="仿宋"/>
                <w:b/>
                <w:bCs/>
                <w:color w:val="000000"/>
                <w:sz w:val="24"/>
                <w:szCs w:val="24"/>
                <w:highlight w:val="none"/>
              </w:rPr>
            </w:pPr>
          </w:p>
        </w:tc>
      </w:tr>
      <w:tr w14:paraId="1E3A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4" w:type="dxa"/>
            <w:noWrap w:val="0"/>
            <w:vAlign w:val="top"/>
          </w:tcPr>
          <w:p w14:paraId="6D913532">
            <w:pPr>
              <w:shd w:val="clear" w:color="auto" w:fill="auto"/>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实习时间</w:t>
            </w:r>
          </w:p>
        </w:tc>
        <w:tc>
          <w:tcPr>
            <w:tcW w:w="7018" w:type="dxa"/>
            <w:noWrap w:val="0"/>
            <w:vAlign w:val="top"/>
          </w:tcPr>
          <w:p w14:paraId="2D77BD1C">
            <w:pPr>
              <w:shd w:val="clear" w:color="auto" w:fill="auto"/>
              <w:spacing w:line="360" w:lineRule="auto"/>
              <w:rPr>
                <w:rFonts w:hint="eastAsia" w:ascii="仿宋" w:hAnsi="仿宋" w:eastAsia="仿宋" w:cs="仿宋"/>
                <w:b/>
                <w:bCs/>
                <w:color w:val="000000"/>
                <w:sz w:val="24"/>
                <w:szCs w:val="24"/>
                <w:highlight w:val="none"/>
              </w:rPr>
            </w:pPr>
          </w:p>
        </w:tc>
      </w:tr>
      <w:tr w14:paraId="4518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72211670">
            <w:pPr>
              <w:numPr>
                <w:ilvl w:val="0"/>
                <w:numId w:val="5"/>
              </w:numPr>
              <w:shd w:val="clear" w:color="auto" w:fill="auto"/>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实习期间工作主要内容：</w:t>
            </w:r>
          </w:p>
          <w:p w14:paraId="35577D2A">
            <w:pPr>
              <w:shd w:val="clear" w:color="auto" w:fill="auto"/>
              <w:spacing w:line="360" w:lineRule="auto"/>
              <w:rPr>
                <w:rFonts w:hint="eastAsia" w:ascii="仿宋" w:hAnsi="仿宋" w:eastAsia="仿宋" w:cs="仿宋"/>
                <w:b/>
                <w:bCs/>
                <w:color w:val="000000"/>
                <w:sz w:val="24"/>
                <w:szCs w:val="24"/>
                <w:highlight w:val="none"/>
              </w:rPr>
            </w:pPr>
          </w:p>
          <w:p w14:paraId="2E86E362">
            <w:pPr>
              <w:shd w:val="clear" w:color="auto" w:fill="auto"/>
              <w:spacing w:line="360" w:lineRule="auto"/>
              <w:rPr>
                <w:rFonts w:hint="eastAsia" w:ascii="仿宋" w:hAnsi="仿宋" w:eastAsia="仿宋" w:cs="仿宋"/>
                <w:b/>
                <w:bCs/>
                <w:color w:val="000000"/>
                <w:sz w:val="24"/>
                <w:szCs w:val="24"/>
                <w:highlight w:val="none"/>
              </w:rPr>
            </w:pPr>
          </w:p>
          <w:p w14:paraId="27103CA1">
            <w:pPr>
              <w:shd w:val="clear" w:color="auto" w:fill="auto"/>
              <w:spacing w:line="360" w:lineRule="auto"/>
              <w:rPr>
                <w:rFonts w:hint="eastAsia" w:ascii="仿宋" w:hAnsi="仿宋" w:eastAsia="仿宋" w:cs="仿宋"/>
                <w:b/>
                <w:bCs/>
                <w:color w:val="000000"/>
                <w:sz w:val="24"/>
                <w:szCs w:val="24"/>
                <w:highlight w:val="none"/>
              </w:rPr>
            </w:pPr>
          </w:p>
          <w:p w14:paraId="6FA7413B">
            <w:pPr>
              <w:shd w:val="clear" w:color="auto" w:fill="auto"/>
              <w:spacing w:line="360" w:lineRule="auto"/>
              <w:rPr>
                <w:rFonts w:hint="eastAsia" w:ascii="仿宋" w:hAnsi="仿宋" w:eastAsia="仿宋" w:cs="仿宋"/>
                <w:b/>
                <w:bCs/>
                <w:color w:val="000000"/>
                <w:sz w:val="24"/>
                <w:szCs w:val="24"/>
                <w:highlight w:val="none"/>
              </w:rPr>
            </w:pPr>
          </w:p>
          <w:p w14:paraId="6CDD7508">
            <w:pPr>
              <w:shd w:val="clear" w:color="auto" w:fill="auto"/>
              <w:spacing w:line="360" w:lineRule="auto"/>
              <w:rPr>
                <w:rFonts w:hint="eastAsia" w:ascii="仿宋" w:hAnsi="仿宋" w:eastAsia="仿宋" w:cs="仿宋"/>
                <w:b/>
                <w:bCs/>
                <w:color w:val="000000"/>
                <w:sz w:val="24"/>
                <w:szCs w:val="24"/>
                <w:highlight w:val="none"/>
              </w:rPr>
            </w:pPr>
          </w:p>
        </w:tc>
      </w:tr>
      <w:tr w14:paraId="3D7F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6DC7FFC3">
            <w:pPr>
              <w:numPr>
                <w:ilvl w:val="0"/>
                <w:numId w:val="5"/>
              </w:numPr>
              <w:shd w:val="clear" w:color="auto" w:fill="auto"/>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实习期间自身哪方面得到改进（心得体会 ）：</w:t>
            </w:r>
          </w:p>
          <w:p w14:paraId="71A6637F">
            <w:pPr>
              <w:shd w:val="clear" w:color="auto" w:fill="auto"/>
              <w:spacing w:line="360" w:lineRule="auto"/>
              <w:rPr>
                <w:rFonts w:hint="eastAsia" w:ascii="仿宋" w:hAnsi="仿宋" w:eastAsia="仿宋" w:cs="仿宋"/>
                <w:b/>
                <w:bCs/>
                <w:color w:val="000000"/>
                <w:sz w:val="24"/>
                <w:szCs w:val="24"/>
                <w:highlight w:val="none"/>
              </w:rPr>
            </w:pPr>
          </w:p>
          <w:p w14:paraId="27CAD178">
            <w:pPr>
              <w:shd w:val="clear" w:color="auto" w:fill="auto"/>
              <w:spacing w:line="360" w:lineRule="auto"/>
              <w:rPr>
                <w:rFonts w:hint="eastAsia" w:ascii="仿宋" w:hAnsi="仿宋" w:eastAsia="仿宋" w:cs="仿宋"/>
                <w:b/>
                <w:bCs/>
                <w:color w:val="000000"/>
                <w:sz w:val="24"/>
                <w:szCs w:val="24"/>
                <w:highlight w:val="none"/>
              </w:rPr>
            </w:pPr>
          </w:p>
          <w:p w14:paraId="23D1DC8E">
            <w:pPr>
              <w:shd w:val="clear" w:color="auto" w:fill="auto"/>
              <w:spacing w:line="360" w:lineRule="auto"/>
              <w:rPr>
                <w:rFonts w:hint="eastAsia" w:ascii="仿宋" w:hAnsi="仿宋" w:eastAsia="仿宋" w:cs="仿宋"/>
                <w:b/>
                <w:bCs/>
                <w:color w:val="000000"/>
                <w:sz w:val="24"/>
                <w:szCs w:val="24"/>
                <w:highlight w:val="none"/>
              </w:rPr>
            </w:pPr>
          </w:p>
          <w:p w14:paraId="1F25A339">
            <w:pPr>
              <w:shd w:val="clear" w:color="auto" w:fill="auto"/>
              <w:spacing w:line="360" w:lineRule="auto"/>
              <w:rPr>
                <w:rFonts w:hint="eastAsia" w:ascii="仿宋" w:hAnsi="仿宋" w:eastAsia="仿宋" w:cs="仿宋"/>
                <w:b/>
                <w:bCs/>
                <w:color w:val="000000"/>
                <w:sz w:val="24"/>
                <w:szCs w:val="24"/>
                <w:highlight w:val="none"/>
              </w:rPr>
            </w:pPr>
          </w:p>
          <w:p w14:paraId="0DBD4DF3">
            <w:pPr>
              <w:shd w:val="clear" w:color="auto" w:fill="auto"/>
              <w:spacing w:line="360" w:lineRule="auto"/>
              <w:rPr>
                <w:rFonts w:hint="eastAsia" w:ascii="仿宋" w:hAnsi="仿宋" w:eastAsia="仿宋" w:cs="仿宋"/>
                <w:b/>
                <w:bCs/>
                <w:color w:val="000000"/>
                <w:sz w:val="24"/>
                <w:szCs w:val="24"/>
                <w:highlight w:val="none"/>
              </w:rPr>
            </w:pPr>
          </w:p>
          <w:p w14:paraId="41A60D93">
            <w:pPr>
              <w:shd w:val="clear" w:color="auto" w:fill="auto"/>
              <w:spacing w:line="360" w:lineRule="auto"/>
              <w:rPr>
                <w:rFonts w:hint="eastAsia" w:ascii="仿宋" w:hAnsi="仿宋" w:eastAsia="仿宋" w:cs="仿宋"/>
                <w:b/>
                <w:bCs/>
                <w:color w:val="000000"/>
                <w:sz w:val="24"/>
                <w:szCs w:val="24"/>
                <w:highlight w:val="none"/>
              </w:rPr>
            </w:pPr>
          </w:p>
        </w:tc>
      </w:tr>
      <w:tr w14:paraId="0545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noWrap w:val="0"/>
            <w:vAlign w:val="top"/>
          </w:tcPr>
          <w:p w14:paraId="1DAB4B32">
            <w:pPr>
              <w:numPr>
                <w:ilvl w:val="0"/>
                <w:numId w:val="5"/>
              </w:numPr>
              <w:shd w:val="clear" w:color="auto" w:fill="auto"/>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对机构提出改进建议 ：</w:t>
            </w:r>
          </w:p>
          <w:p w14:paraId="2A52F895">
            <w:pPr>
              <w:shd w:val="clear" w:color="auto" w:fill="auto"/>
              <w:spacing w:line="360" w:lineRule="auto"/>
              <w:rPr>
                <w:rFonts w:hint="eastAsia" w:ascii="仿宋" w:hAnsi="仿宋" w:eastAsia="仿宋" w:cs="仿宋"/>
                <w:b/>
                <w:bCs/>
                <w:color w:val="000000"/>
                <w:sz w:val="24"/>
                <w:szCs w:val="24"/>
                <w:highlight w:val="none"/>
              </w:rPr>
            </w:pPr>
          </w:p>
          <w:p w14:paraId="4DEFEE59">
            <w:pPr>
              <w:shd w:val="clear" w:color="auto" w:fill="auto"/>
              <w:spacing w:line="360" w:lineRule="auto"/>
              <w:rPr>
                <w:rFonts w:hint="eastAsia" w:ascii="仿宋" w:hAnsi="仿宋" w:eastAsia="仿宋" w:cs="仿宋"/>
                <w:b/>
                <w:bCs/>
                <w:color w:val="000000"/>
                <w:sz w:val="24"/>
                <w:szCs w:val="24"/>
                <w:highlight w:val="none"/>
              </w:rPr>
            </w:pPr>
          </w:p>
          <w:p w14:paraId="13E0332F">
            <w:pPr>
              <w:shd w:val="clear" w:color="auto" w:fill="auto"/>
              <w:spacing w:line="360" w:lineRule="auto"/>
              <w:rPr>
                <w:rFonts w:hint="eastAsia" w:ascii="仿宋" w:hAnsi="仿宋" w:eastAsia="仿宋" w:cs="仿宋"/>
                <w:b/>
                <w:bCs/>
                <w:color w:val="000000"/>
                <w:sz w:val="24"/>
                <w:szCs w:val="24"/>
                <w:highlight w:val="none"/>
              </w:rPr>
            </w:pPr>
          </w:p>
          <w:p w14:paraId="58233DBF">
            <w:pPr>
              <w:shd w:val="clear" w:color="auto" w:fill="auto"/>
              <w:spacing w:line="360" w:lineRule="auto"/>
              <w:rPr>
                <w:rFonts w:hint="eastAsia" w:ascii="仿宋" w:hAnsi="仿宋" w:eastAsia="仿宋" w:cs="仿宋"/>
                <w:b/>
                <w:bCs/>
                <w:color w:val="000000"/>
                <w:sz w:val="24"/>
                <w:szCs w:val="24"/>
                <w:highlight w:val="none"/>
              </w:rPr>
            </w:pPr>
          </w:p>
          <w:p w14:paraId="13973A74">
            <w:pPr>
              <w:shd w:val="clear" w:color="auto" w:fill="auto"/>
              <w:spacing w:line="360" w:lineRule="auto"/>
              <w:rPr>
                <w:rFonts w:hint="eastAsia" w:ascii="仿宋" w:hAnsi="仿宋" w:eastAsia="仿宋" w:cs="仿宋"/>
                <w:b/>
                <w:bCs/>
                <w:color w:val="000000"/>
                <w:sz w:val="24"/>
                <w:szCs w:val="24"/>
                <w:highlight w:val="none"/>
              </w:rPr>
            </w:pPr>
          </w:p>
          <w:p w14:paraId="597AFC1B">
            <w:pPr>
              <w:shd w:val="clear" w:color="auto" w:fill="auto"/>
              <w:spacing w:line="360" w:lineRule="auto"/>
              <w:rPr>
                <w:rFonts w:hint="eastAsia" w:ascii="仿宋" w:hAnsi="仿宋" w:eastAsia="仿宋" w:cs="仿宋"/>
                <w:b/>
                <w:bCs/>
                <w:color w:val="000000"/>
                <w:sz w:val="24"/>
                <w:szCs w:val="24"/>
                <w:highlight w:val="none"/>
              </w:rPr>
            </w:pPr>
          </w:p>
          <w:p w14:paraId="53EB697E">
            <w:pPr>
              <w:shd w:val="clear" w:color="auto" w:fill="auto"/>
              <w:spacing w:line="360" w:lineRule="auto"/>
              <w:rPr>
                <w:rFonts w:hint="eastAsia" w:ascii="仿宋" w:hAnsi="仿宋" w:eastAsia="仿宋" w:cs="仿宋"/>
                <w:b/>
                <w:bCs/>
                <w:color w:val="000000"/>
                <w:sz w:val="24"/>
                <w:szCs w:val="24"/>
                <w:highlight w:val="none"/>
              </w:rPr>
            </w:pPr>
          </w:p>
          <w:p w14:paraId="21B5C085">
            <w:pPr>
              <w:shd w:val="clear" w:color="auto" w:fill="auto"/>
              <w:tabs>
                <w:tab w:val="left" w:pos="2106"/>
              </w:tabs>
              <w:spacing w:line="360" w:lineRule="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ab/>
            </w:r>
          </w:p>
        </w:tc>
      </w:tr>
    </w:tbl>
    <w:p w14:paraId="52C52908">
      <w:pPr>
        <w:shd w:val="clear" w:color="auto" w:fill="auto"/>
        <w:spacing w:line="48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rPr>
        <w:t>十</w:t>
      </w:r>
      <w:r>
        <w:rPr>
          <w:rFonts w:hint="eastAsia" w:ascii="仿宋" w:hAnsi="仿宋" w:eastAsia="仿宋" w:cs="仿宋"/>
          <w:b/>
          <w:bCs/>
          <w:color w:val="000000"/>
          <w:sz w:val="32"/>
          <w:szCs w:val="28"/>
          <w:highlight w:val="none"/>
          <w:lang w:val="en-US" w:eastAsia="zh-CN"/>
        </w:rPr>
        <w:t>一</w:t>
      </w:r>
      <w:r>
        <w:rPr>
          <w:rFonts w:hint="eastAsia" w:ascii="仿宋" w:hAnsi="仿宋" w:eastAsia="仿宋" w:cs="仿宋"/>
          <w:b/>
          <w:bCs/>
          <w:color w:val="000000"/>
          <w:sz w:val="32"/>
          <w:szCs w:val="28"/>
          <w:highlight w:val="none"/>
        </w:rPr>
        <w:t>、实习证书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0BA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6" w:hRule="atLeast"/>
        </w:trPr>
        <w:tc>
          <w:tcPr>
            <w:tcW w:w="8522" w:type="dxa"/>
            <w:noWrap w:val="0"/>
            <w:vAlign w:val="top"/>
          </w:tcPr>
          <w:p w14:paraId="5634018D">
            <w:pPr>
              <w:shd w:val="clear" w:color="auto" w:fill="auto"/>
              <w:spacing w:line="480" w:lineRule="auto"/>
              <w:rPr>
                <w:rFonts w:hint="eastAsia" w:ascii="仿宋" w:hAnsi="仿宋" w:eastAsia="仿宋" w:cs="仿宋"/>
                <w:b/>
                <w:bCs/>
                <w:color w:val="000000"/>
                <w:sz w:val="32"/>
                <w:szCs w:val="28"/>
                <w:highlight w:val="none"/>
              </w:rPr>
            </w:pPr>
          </w:p>
          <w:p w14:paraId="52E60FCC">
            <w:pPr>
              <w:shd w:val="clear" w:color="auto" w:fill="auto"/>
              <w:spacing w:line="480" w:lineRule="auto"/>
              <w:jc w:val="center"/>
              <w:rPr>
                <w:rFonts w:hint="eastAsia" w:ascii="仿宋" w:hAnsi="仿宋" w:eastAsia="仿宋" w:cs="仿宋"/>
                <w:b/>
                <w:bCs/>
                <w:color w:val="000000"/>
                <w:sz w:val="96"/>
                <w:szCs w:val="72"/>
                <w:highlight w:val="none"/>
              </w:rPr>
            </w:pPr>
            <w:r>
              <w:rPr>
                <w:rFonts w:hint="eastAsia" w:ascii="仿宋" w:hAnsi="仿宋" w:eastAsia="仿宋" w:cs="仿宋"/>
                <w:b/>
                <w:bCs/>
                <w:color w:val="000000"/>
                <w:sz w:val="96"/>
                <w:szCs w:val="72"/>
                <w:highlight w:val="none"/>
              </w:rPr>
              <w:t>实习证书</w:t>
            </w:r>
          </w:p>
          <w:p w14:paraId="268DF958">
            <w:pPr>
              <w:shd w:val="clear" w:color="auto" w:fill="auto"/>
              <w:spacing w:line="480" w:lineRule="auto"/>
              <w:jc w:val="center"/>
              <w:rPr>
                <w:rFonts w:hint="eastAsia" w:ascii="仿宋" w:hAnsi="仿宋" w:eastAsia="仿宋" w:cs="仿宋"/>
                <w:b/>
                <w:bCs/>
                <w:color w:val="000000"/>
                <w:sz w:val="28"/>
                <w:szCs w:val="24"/>
                <w:highlight w:val="none"/>
              </w:rPr>
            </w:pPr>
          </w:p>
          <w:p w14:paraId="27F61770">
            <w:pPr>
              <w:shd w:val="clear" w:color="auto" w:fill="auto"/>
              <w:spacing w:line="480" w:lineRule="auto"/>
              <w:jc w:val="center"/>
              <w:rPr>
                <w:rFonts w:hint="eastAsia" w:ascii="仿宋" w:hAnsi="仿宋" w:eastAsia="仿宋" w:cs="仿宋"/>
                <w:color w:val="000000"/>
                <w:sz w:val="28"/>
                <w:szCs w:val="24"/>
                <w:highlight w:val="none"/>
              </w:rPr>
            </w:pPr>
          </w:p>
          <w:p w14:paraId="22D2E82C">
            <w:pPr>
              <w:shd w:val="clear" w:color="auto" w:fill="auto"/>
              <w:spacing w:line="480" w:lineRule="auto"/>
              <w:jc w:val="center"/>
              <w:rPr>
                <w:rFonts w:hint="eastAsia" w:ascii="仿宋" w:hAnsi="仿宋" w:eastAsia="仿宋" w:cs="仿宋"/>
                <w:color w:val="000000"/>
                <w:sz w:val="28"/>
                <w:szCs w:val="24"/>
                <w:highlight w:val="none"/>
              </w:rPr>
            </w:pPr>
          </w:p>
          <w:p w14:paraId="77926414">
            <w:pPr>
              <w:shd w:val="clear" w:color="auto" w:fill="auto"/>
              <w:spacing w:line="480" w:lineRule="auto"/>
              <w:jc w:val="center"/>
              <w:rPr>
                <w:rFonts w:hint="eastAsia" w:ascii="仿宋" w:hAnsi="仿宋" w:eastAsia="仿宋" w:cs="仿宋"/>
                <w:color w:val="000000"/>
                <w:sz w:val="28"/>
                <w:szCs w:val="24"/>
                <w:highlight w:val="none"/>
              </w:rPr>
            </w:pPr>
          </w:p>
          <w:p w14:paraId="4A459B6A">
            <w:pPr>
              <w:shd w:val="clear" w:color="auto" w:fill="auto"/>
              <w:spacing w:line="600" w:lineRule="auto"/>
              <w:rPr>
                <w:rFonts w:hint="eastAsia" w:ascii="仿宋" w:hAnsi="仿宋" w:eastAsia="仿宋" w:cs="仿宋"/>
                <w:b/>
                <w:bCs/>
                <w:color w:val="000000"/>
                <w:sz w:val="32"/>
                <w:szCs w:val="28"/>
                <w:highlight w:val="none"/>
                <w:u w:val="single"/>
              </w:rPr>
            </w:pPr>
          </w:p>
          <w:p w14:paraId="490A9B36">
            <w:pPr>
              <w:shd w:val="clear" w:color="auto" w:fill="auto"/>
              <w:spacing w:line="60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u w:val="single"/>
              </w:rPr>
              <w:t xml:space="preserve">        </w:t>
            </w:r>
            <w:r>
              <w:rPr>
                <w:rFonts w:hint="eastAsia" w:ascii="仿宋" w:hAnsi="仿宋" w:eastAsia="仿宋" w:cs="仿宋"/>
                <w:b/>
                <w:bCs/>
                <w:color w:val="000000"/>
                <w:sz w:val="32"/>
                <w:szCs w:val="28"/>
                <w:highlight w:val="none"/>
              </w:rPr>
              <w:t>同学：</w:t>
            </w:r>
          </w:p>
          <w:p w14:paraId="6426E193">
            <w:pPr>
              <w:shd w:val="clear" w:color="auto" w:fill="auto"/>
              <w:spacing w:line="60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rPr>
              <w:t xml:space="preserve">    </w:t>
            </w:r>
            <w:r>
              <w:rPr>
                <w:rFonts w:hint="eastAsia" w:ascii="仿宋" w:hAnsi="仿宋" w:eastAsia="仿宋" w:cs="仿宋"/>
                <w:b/>
                <w:bCs/>
                <w:color w:val="000000"/>
                <w:sz w:val="32"/>
                <w:szCs w:val="28"/>
                <w:highlight w:val="none"/>
                <w:u w:val="single"/>
              </w:rPr>
              <w:t xml:space="preserve">      </w:t>
            </w:r>
            <w:r>
              <w:rPr>
                <w:rFonts w:hint="eastAsia" w:ascii="仿宋" w:hAnsi="仿宋" w:eastAsia="仿宋" w:cs="仿宋"/>
                <w:b/>
                <w:bCs/>
                <w:color w:val="000000"/>
                <w:sz w:val="32"/>
                <w:szCs w:val="28"/>
                <w:highlight w:val="none"/>
              </w:rPr>
              <w:t>年</w:t>
            </w:r>
            <w:r>
              <w:rPr>
                <w:rFonts w:hint="eastAsia" w:ascii="仿宋" w:hAnsi="仿宋" w:eastAsia="仿宋" w:cs="仿宋"/>
                <w:b/>
                <w:bCs/>
                <w:color w:val="000000"/>
                <w:sz w:val="32"/>
                <w:szCs w:val="28"/>
                <w:highlight w:val="none"/>
                <w:u w:val="single"/>
              </w:rPr>
              <w:t xml:space="preserve">   </w:t>
            </w:r>
            <w:r>
              <w:rPr>
                <w:rFonts w:hint="eastAsia" w:ascii="仿宋" w:hAnsi="仿宋" w:eastAsia="仿宋" w:cs="仿宋"/>
                <w:b/>
                <w:bCs/>
                <w:color w:val="000000"/>
                <w:sz w:val="32"/>
                <w:szCs w:val="28"/>
                <w:highlight w:val="none"/>
              </w:rPr>
              <w:t>月</w:t>
            </w:r>
            <w:r>
              <w:rPr>
                <w:rFonts w:hint="eastAsia" w:ascii="仿宋" w:hAnsi="仿宋" w:eastAsia="仿宋" w:cs="仿宋"/>
                <w:b/>
                <w:bCs/>
                <w:color w:val="000000"/>
                <w:sz w:val="32"/>
                <w:szCs w:val="28"/>
                <w:highlight w:val="none"/>
                <w:u w:val="single"/>
              </w:rPr>
              <w:t xml:space="preserve">    </w:t>
            </w:r>
            <w:r>
              <w:rPr>
                <w:rFonts w:hint="eastAsia" w:ascii="仿宋" w:hAnsi="仿宋" w:eastAsia="仿宋" w:cs="仿宋"/>
                <w:b/>
                <w:bCs/>
                <w:color w:val="000000"/>
                <w:sz w:val="32"/>
                <w:szCs w:val="28"/>
                <w:highlight w:val="none"/>
              </w:rPr>
              <w:t>日至</w:t>
            </w:r>
            <w:r>
              <w:rPr>
                <w:rFonts w:hint="eastAsia" w:ascii="仿宋" w:hAnsi="仿宋" w:eastAsia="仿宋" w:cs="仿宋"/>
                <w:b/>
                <w:bCs/>
                <w:color w:val="000000"/>
                <w:sz w:val="32"/>
                <w:szCs w:val="28"/>
                <w:highlight w:val="none"/>
                <w:u w:val="single"/>
              </w:rPr>
              <w:t xml:space="preserve">    </w:t>
            </w:r>
            <w:r>
              <w:rPr>
                <w:rFonts w:hint="eastAsia" w:ascii="仿宋" w:hAnsi="仿宋" w:eastAsia="仿宋" w:cs="仿宋"/>
                <w:b/>
                <w:bCs/>
                <w:color w:val="000000"/>
                <w:sz w:val="32"/>
                <w:szCs w:val="28"/>
                <w:highlight w:val="none"/>
              </w:rPr>
              <w:t>月</w:t>
            </w:r>
            <w:r>
              <w:rPr>
                <w:rFonts w:hint="eastAsia" w:ascii="仿宋" w:hAnsi="仿宋" w:eastAsia="仿宋" w:cs="仿宋"/>
                <w:b/>
                <w:bCs/>
                <w:color w:val="000000"/>
                <w:sz w:val="32"/>
                <w:szCs w:val="28"/>
                <w:highlight w:val="none"/>
                <w:u w:val="single"/>
              </w:rPr>
              <w:t xml:space="preserve">   </w:t>
            </w:r>
            <w:r>
              <w:rPr>
                <w:rFonts w:hint="eastAsia" w:ascii="仿宋" w:hAnsi="仿宋" w:eastAsia="仿宋" w:cs="仿宋"/>
                <w:b/>
                <w:bCs/>
                <w:color w:val="000000"/>
                <w:sz w:val="32"/>
                <w:szCs w:val="28"/>
                <w:highlight w:val="none"/>
              </w:rPr>
              <w:t>日，在</w:t>
            </w:r>
            <w:r>
              <w:rPr>
                <w:rFonts w:hint="eastAsia" w:ascii="仿宋" w:hAnsi="仿宋" w:eastAsia="仿宋" w:cs="仿宋"/>
                <w:b/>
                <w:bCs/>
                <w:color w:val="000000"/>
                <w:sz w:val="32"/>
                <w:szCs w:val="28"/>
                <w:highlight w:val="none"/>
                <w:lang w:eastAsia="zh-CN"/>
              </w:rPr>
              <w:t>青海省青海湖生态保护基金会</w:t>
            </w:r>
            <w:r>
              <w:rPr>
                <w:rFonts w:hint="eastAsia" w:ascii="仿宋" w:hAnsi="仿宋" w:eastAsia="仿宋" w:cs="仿宋"/>
                <w:b/>
                <w:bCs/>
                <w:color w:val="000000"/>
                <w:sz w:val="32"/>
                <w:szCs w:val="28"/>
                <w:highlight w:val="none"/>
              </w:rPr>
              <w:t>社会工作中心累计实习</w:t>
            </w:r>
            <w:r>
              <w:rPr>
                <w:rFonts w:hint="eastAsia" w:ascii="仿宋" w:hAnsi="仿宋" w:eastAsia="仿宋" w:cs="仿宋"/>
                <w:b/>
                <w:bCs/>
                <w:color w:val="000000"/>
                <w:sz w:val="32"/>
                <w:szCs w:val="28"/>
                <w:highlight w:val="none"/>
                <w:u w:val="single"/>
              </w:rPr>
              <w:t xml:space="preserve">      </w:t>
            </w:r>
            <w:r>
              <w:rPr>
                <w:rFonts w:hint="eastAsia" w:ascii="仿宋" w:hAnsi="仿宋" w:eastAsia="仿宋" w:cs="仿宋"/>
                <w:b/>
                <w:bCs/>
                <w:color w:val="000000"/>
                <w:sz w:val="32"/>
                <w:szCs w:val="28"/>
                <w:highlight w:val="none"/>
              </w:rPr>
              <w:t>小时，经综合评定实习分数为</w:t>
            </w:r>
          </w:p>
          <w:p w14:paraId="751779FC">
            <w:pPr>
              <w:shd w:val="clear" w:color="auto" w:fill="auto"/>
              <w:spacing w:line="60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u w:val="single"/>
              </w:rPr>
              <w:t xml:space="preserve">      </w:t>
            </w:r>
            <w:r>
              <w:rPr>
                <w:rFonts w:hint="eastAsia" w:ascii="仿宋" w:hAnsi="仿宋" w:eastAsia="仿宋" w:cs="仿宋"/>
                <w:b/>
                <w:bCs/>
                <w:color w:val="000000"/>
                <w:sz w:val="32"/>
                <w:szCs w:val="28"/>
                <w:highlight w:val="none"/>
              </w:rPr>
              <w:t>分（满分100分），实习期间表现优秀/良好/合格。</w:t>
            </w:r>
          </w:p>
          <w:p w14:paraId="37F54A9D">
            <w:pPr>
              <w:shd w:val="clear" w:color="auto" w:fill="auto"/>
              <w:spacing w:line="600" w:lineRule="auto"/>
              <w:ind w:firstLine="643" w:firstLineChars="200"/>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rPr>
              <w:t>特颁此证！</w:t>
            </w:r>
          </w:p>
          <w:p w14:paraId="755AC64A">
            <w:pPr>
              <w:shd w:val="clear" w:color="auto" w:fill="auto"/>
              <w:spacing w:line="600" w:lineRule="auto"/>
              <w:ind w:firstLine="643" w:firstLineChars="200"/>
              <w:rPr>
                <w:rFonts w:hint="eastAsia" w:ascii="仿宋" w:hAnsi="仿宋" w:eastAsia="仿宋" w:cs="仿宋"/>
                <w:b/>
                <w:bCs/>
                <w:color w:val="000000"/>
                <w:sz w:val="32"/>
                <w:szCs w:val="28"/>
                <w:highlight w:val="none"/>
              </w:rPr>
            </w:pPr>
          </w:p>
          <w:p w14:paraId="13DB143D">
            <w:pPr>
              <w:shd w:val="clear" w:color="auto" w:fill="auto"/>
              <w:wordWrap w:val="0"/>
              <w:spacing w:line="600" w:lineRule="auto"/>
              <w:ind w:firstLine="643" w:firstLineChars="200"/>
              <w:jc w:val="right"/>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rPr>
              <w:t xml:space="preserve">督导社工签字：          </w:t>
            </w:r>
          </w:p>
          <w:p w14:paraId="56856488">
            <w:pPr>
              <w:shd w:val="clear" w:color="auto" w:fill="auto"/>
              <w:spacing w:line="600" w:lineRule="auto"/>
              <w:ind w:firstLine="643" w:firstLineChars="200"/>
              <w:jc w:val="center"/>
              <w:rPr>
                <w:rFonts w:hint="eastAsia" w:ascii="仿宋" w:hAnsi="仿宋" w:eastAsia="仿宋" w:cs="仿宋"/>
                <w:b/>
                <w:bCs/>
                <w:color w:val="000000"/>
                <w:sz w:val="32"/>
                <w:szCs w:val="28"/>
                <w:highlight w:val="none"/>
                <w:lang w:eastAsia="zh-CN"/>
              </w:rPr>
            </w:pPr>
            <w:r>
              <w:rPr>
                <w:rFonts w:hint="eastAsia" w:ascii="仿宋" w:hAnsi="仿宋" w:eastAsia="仿宋" w:cs="仿宋"/>
                <w:b/>
                <w:bCs/>
                <w:color w:val="000000"/>
                <w:sz w:val="32"/>
                <w:szCs w:val="28"/>
                <w:highlight w:val="none"/>
              </w:rPr>
              <w:t xml:space="preserve">                </w:t>
            </w:r>
            <w:r>
              <w:rPr>
                <w:rFonts w:hint="eastAsia" w:ascii="仿宋" w:hAnsi="仿宋" w:eastAsia="仿宋" w:cs="仿宋"/>
                <w:b/>
                <w:bCs/>
                <w:color w:val="000000"/>
                <w:sz w:val="32"/>
                <w:szCs w:val="28"/>
                <w:highlight w:val="none"/>
                <w:lang w:eastAsia="zh-CN"/>
              </w:rPr>
              <w:t>青海省青海湖生态保护基金会</w:t>
            </w:r>
          </w:p>
          <w:p w14:paraId="1F9E1FFE">
            <w:pPr>
              <w:shd w:val="clear" w:color="auto" w:fill="auto"/>
              <w:spacing w:line="600" w:lineRule="auto"/>
              <w:ind w:firstLine="643" w:firstLineChars="200"/>
              <w:jc w:val="center"/>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rPr>
              <w:t xml:space="preserve">               年  月  日</w:t>
            </w:r>
          </w:p>
        </w:tc>
      </w:tr>
    </w:tbl>
    <w:p w14:paraId="27089938">
      <w:pPr>
        <w:shd w:val="clear" w:color="auto" w:fill="auto"/>
        <w:spacing w:line="480" w:lineRule="auto"/>
        <w:rPr>
          <w:rFonts w:hint="eastAsia" w:ascii="仿宋" w:hAnsi="仿宋" w:eastAsia="仿宋" w:cs="仿宋"/>
          <w:b/>
          <w:bCs/>
          <w:color w:val="000000"/>
          <w:sz w:val="32"/>
          <w:szCs w:val="28"/>
          <w:highlight w:val="none"/>
        </w:rPr>
      </w:pPr>
    </w:p>
    <w:p w14:paraId="7480E94F">
      <w:pPr>
        <w:shd w:val="clear" w:color="auto" w:fill="auto"/>
        <w:spacing w:line="480" w:lineRule="auto"/>
        <w:rPr>
          <w:rFonts w:hint="eastAsia" w:ascii="仿宋" w:hAnsi="仿宋" w:eastAsia="仿宋" w:cs="仿宋"/>
          <w:b/>
          <w:bCs/>
          <w:color w:val="000000"/>
          <w:sz w:val="32"/>
          <w:szCs w:val="28"/>
          <w:highlight w:val="none"/>
        </w:rPr>
      </w:pPr>
      <w:r>
        <w:rPr>
          <w:rFonts w:hint="eastAsia" w:ascii="仿宋" w:hAnsi="仿宋" w:eastAsia="仿宋" w:cs="仿宋"/>
          <w:b/>
          <w:bCs/>
          <w:color w:val="000000"/>
          <w:sz w:val="32"/>
          <w:szCs w:val="28"/>
          <w:highlight w:val="none"/>
        </w:rPr>
        <w:t>十</w:t>
      </w:r>
      <w:r>
        <w:rPr>
          <w:rFonts w:hint="eastAsia" w:ascii="仿宋" w:hAnsi="仿宋" w:eastAsia="仿宋" w:cs="仿宋"/>
          <w:b/>
          <w:bCs/>
          <w:color w:val="000000"/>
          <w:sz w:val="32"/>
          <w:szCs w:val="28"/>
          <w:highlight w:val="none"/>
          <w:lang w:val="en-US" w:eastAsia="zh-CN"/>
        </w:rPr>
        <w:t>二</w:t>
      </w:r>
      <w:r>
        <w:rPr>
          <w:rFonts w:hint="eastAsia" w:ascii="仿宋" w:hAnsi="仿宋" w:eastAsia="仿宋" w:cs="仿宋"/>
          <w:b/>
          <w:bCs/>
          <w:color w:val="000000"/>
          <w:sz w:val="32"/>
          <w:szCs w:val="28"/>
          <w:highlight w:val="none"/>
        </w:rPr>
        <w:t>、实习手册使用说明</w:t>
      </w:r>
    </w:p>
    <w:p w14:paraId="2EF7675E">
      <w:pPr>
        <w:shd w:val="clear" w:color="auto" w:fill="auto"/>
        <w:spacing w:line="36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1.《实习生报名表》：实习生到实习单位之前填完并电子版发送到实习单位，以便做好接待准备。社工实习生到实习单位时需提交身份证复印件和彩色1寸照片3张——用于办理工作牌及档案存档。实习报名时填写。</w:t>
      </w:r>
    </w:p>
    <w:p w14:paraId="0BC70AC0">
      <w:pPr>
        <w:shd w:val="clear" w:color="auto" w:fill="auto"/>
        <w:spacing w:line="36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2.《实习协议》：明确实习期限、实习义务和责任等，保证双方的权利和义务。</w:t>
      </w:r>
    </w:p>
    <w:p w14:paraId="6F6FD8E8">
      <w:pPr>
        <w:shd w:val="clear" w:color="auto" w:fill="auto"/>
        <w:spacing w:line="36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3.《实习生考勤表》：实习生在实习期间每天要按实习单位要求的出勤时间做好考勤，在当天内由督导签名，若督导不在，由督导指定专人代签。</w:t>
      </w:r>
    </w:p>
    <w:p w14:paraId="0A79FB14">
      <w:pPr>
        <w:shd w:val="clear" w:color="auto" w:fill="auto"/>
        <w:spacing w:line="36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4.《实习计划表》：实习生根据计划表和督导一起制定实习计划。</w:t>
      </w:r>
    </w:p>
    <w:p w14:paraId="56D88D05">
      <w:pPr>
        <w:shd w:val="clear" w:color="auto" w:fill="auto"/>
        <w:spacing w:line="36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5.《实习周志》：实习生期间需要填写实习周志。</w:t>
      </w:r>
    </w:p>
    <w:p w14:paraId="5BA57FE6">
      <w:pPr>
        <w:shd w:val="clear" w:color="auto" w:fill="auto"/>
        <w:spacing w:line="36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6.《周督导提纲》：直接督导每周五根据《月督导记录表》为实习生作每周小型督导，过程中填写记录表，之后整理，并于最后一次实习总结会上交给总督导存档备案。</w:t>
      </w:r>
    </w:p>
    <w:p w14:paraId="67619414">
      <w:pPr>
        <w:shd w:val="clear" w:color="auto" w:fill="auto"/>
        <w:spacing w:line="36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7.《月督导提纲》：总督导每月召集所有实习生和直接督导开每月督导会议，应用《月督导提纲》。</w:t>
      </w:r>
    </w:p>
    <w:p w14:paraId="6F173409">
      <w:pPr>
        <w:shd w:val="clear" w:color="auto" w:fill="auto"/>
        <w:spacing w:line="360" w:lineRule="auto"/>
        <w:ind w:firstLine="560" w:firstLineChars="200"/>
        <w:rPr>
          <w:rFonts w:hint="eastAsia" w:ascii="仿宋" w:hAnsi="仿宋" w:eastAsia="仿宋" w:cs="仿宋"/>
          <w:color w:val="000000"/>
          <w:sz w:val="28"/>
          <w:szCs w:val="24"/>
          <w:highlight w:val="none"/>
        </w:rPr>
      </w:pPr>
      <w:r>
        <w:rPr>
          <w:rFonts w:hint="eastAsia" w:ascii="仿宋" w:hAnsi="仿宋" w:eastAsia="仿宋" w:cs="仿宋"/>
          <w:color w:val="000000"/>
          <w:sz w:val="28"/>
          <w:szCs w:val="24"/>
          <w:highlight w:val="none"/>
        </w:rPr>
        <w:t>8.《实习总结》：实习生最后一周完成，提交给督导社工。</w:t>
      </w:r>
    </w:p>
    <w:p w14:paraId="4DB5FB3F">
      <w:pPr>
        <w:shd w:val="clear" w:color="auto" w:fill="auto"/>
        <w:spacing w:line="360" w:lineRule="auto"/>
        <w:ind w:firstLine="560" w:firstLineChars="200"/>
        <w:sectPr>
          <w:footerReference r:id="rId23" w:type="default"/>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000000"/>
          <w:sz w:val="28"/>
          <w:szCs w:val="24"/>
          <w:highlight w:val="none"/>
        </w:rPr>
        <w:t>9.《评估表》：实习生实习的最后一周内，实习生直接督导和实习所在活动点相关工作人员为实习生作实习评估。</w:t>
      </w:r>
    </w:p>
    <w:p w14:paraId="3D94F9CC">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color w:val="auto"/>
          <w:kern w:val="0"/>
          <w:sz w:val="40"/>
          <w:szCs w:val="40"/>
          <w:lang w:val="en-US" w:eastAsia="zh-CN" w:bidi="ar"/>
        </w:rPr>
        <w:t>青海湖生态保护基金会员工发展手册</w:t>
      </w:r>
    </w:p>
    <w:p w14:paraId="058F3D8C">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黑体" w:hAnsi="黑体" w:eastAsia="黑体" w:cs="黑体"/>
          <w:b w:val="0"/>
          <w:bCs w:val="0"/>
          <w:color w:val="auto"/>
          <w:sz w:val="28"/>
          <w:szCs w:val="28"/>
        </w:rPr>
      </w:pPr>
      <w:r>
        <w:rPr>
          <w:rFonts w:hint="eastAsia" w:ascii="黑体" w:hAnsi="黑体" w:eastAsia="黑体" w:cs="黑体"/>
          <w:b w:val="0"/>
          <w:bCs w:val="0"/>
          <w:color w:val="auto"/>
          <w:kern w:val="0"/>
          <w:sz w:val="28"/>
          <w:szCs w:val="28"/>
          <w:lang w:val="en-US" w:eastAsia="zh-CN" w:bidi="ar"/>
        </w:rPr>
        <w:t>员工行动依据</w:t>
      </w:r>
    </w:p>
    <w:p w14:paraId="65DF208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行动策略 </w:t>
      </w:r>
    </w:p>
    <w:p w14:paraId="63A1C45B">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整合社会资源：</w:t>
      </w:r>
      <w:r>
        <w:rPr>
          <w:rFonts w:hint="eastAsia" w:ascii="宋体" w:hAnsi="宋体" w:eastAsia="宋体" w:cs="宋体"/>
          <w:color w:val="auto"/>
          <w:kern w:val="0"/>
          <w:sz w:val="24"/>
          <w:szCs w:val="24"/>
          <w:lang w:val="en-US" w:eastAsia="zh-CN" w:bidi="ar"/>
        </w:rPr>
        <w:t xml:space="preserve">作为公益价值链的上游机构，在社会的需求和梦想以及基金会的理念和能力中间找到平衡，积极整合社会资源，同时将注意力集中在理性选择的领域，对这个领域给予持久的陪伴和耐心的支持。 </w:t>
      </w:r>
    </w:p>
    <w:p w14:paraId="4978E017">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引领合作创新：</w:t>
      </w:r>
      <w:r>
        <w:rPr>
          <w:rFonts w:hint="eastAsia" w:ascii="宋体" w:hAnsi="宋体" w:eastAsia="宋体" w:cs="宋体"/>
          <w:color w:val="auto"/>
          <w:kern w:val="0"/>
          <w:sz w:val="24"/>
          <w:szCs w:val="24"/>
          <w:lang w:val="en-US" w:eastAsia="zh-CN" w:bidi="ar"/>
        </w:rPr>
        <w:t xml:space="preserve">对巨大的社会需求而言，基金会微不足道的资金很快就会消耗殆尽。但是如果资金被用于鼓励创新和基于此的合作，作为社会变革的风险投资，为人类的创造力留出足够空间，同时勇于承担风险，它们就可能带来更深远的影响。 </w:t>
      </w:r>
    </w:p>
    <w:p w14:paraId="683EBE10">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推动行业发展：</w:t>
      </w:r>
      <w:r>
        <w:rPr>
          <w:rFonts w:hint="eastAsia" w:ascii="宋体" w:hAnsi="宋体" w:eastAsia="宋体" w:cs="宋体"/>
          <w:color w:val="auto"/>
          <w:kern w:val="0"/>
          <w:sz w:val="24"/>
          <w:szCs w:val="24"/>
          <w:lang w:val="en-US" w:eastAsia="zh-CN" w:bidi="ar"/>
        </w:rPr>
        <w:t xml:space="preserve">重视公益行业生态建设，积极整合资源为行业赋能，推动行业持续生长、迭代和进化，促进行业不断融合创新。 </w:t>
      </w:r>
    </w:p>
    <w:p w14:paraId="7CA4F380">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项目原则 </w:t>
      </w:r>
    </w:p>
    <w:p w14:paraId="3A21B729">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有利于唤起人的自我意识：</w:t>
      </w:r>
      <w:r>
        <w:rPr>
          <w:rFonts w:hint="eastAsia" w:ascii="宋体" w:hAnsi="宋体" w:eastAsia="宋体" w:cs="宋体"/>
          <w:color w:val="auto"/>
          <w:kern w:val="0"/>
          <w:sz w:val="24"/>
          <w:szCs w:val="24"/>
          <w:lang w:val="en-US" w:eastAsia="zh-CN" w:bidi="ar"/>
        </w:rPr>
        <w:t xml:space="preserve">不断努力去改善自己的生活境况是人的天性和责任。 </w:t>
      </w:r>
    </w:p>
    <w:p w14:paraId="6A390409">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有利于强化人的市场权利：</w:t>
      </w:r>
      <w:r>
        <w:rPr>
          <w:rFonts w:hint="eastAsia" w:ascii="宋体" w:hAnsi="宋体" w:eastAsia="宋体" w:cs="宋体"/>
          <w:color w:val="auto"/>
          <w:kern w:val="0"/>
          <w:sz w:val="24"/>
          <w:szCs w:val="24"/>
          <w:lang w:val="en-US" w:eastAsia="zh-CN" w:bidi="ar"/>
        </w:rPr>
        <w:t xml:space="preserve">人的成长有助于加强积极的社会协作，良好的协作关系又会帮助个人的发展。 </w:t>
      </w:r>
    </w:p>
    <w:p w14:paraId="2705FC9E">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有利于增加人的多元选择：</w:t>
      </w:r>
      <w:r>
        <w:rPr>
          <w:rFonts w:hint="eastAsia" w:ascii="宋体" w:hAnsi="宋体" w:eastAsia="宋体" w:cs="宋体"/>
          <w:color w:val="auto"/>
          <w:kern w:val="0"/>
          <w:sz w:val="24"/>
          <w:szCs w:val="24"/>
          <w:lang w:val="en-US" w:eastAsia="zh-CN" w:bidi="ar"/>
        </w:rPr>
        <w:t xml:space="preserve">每个人内在幸福感、心灵安宁、思想情趣的升华， 需要独自修炼。 </w:t>
      </w:r>
    </w:p>
    <w:p w14:paraId="6EF02E95">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工作原则 </w:t>
      </w:r>
    </w:p>
    <w:p w14:paraId="4565867B">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大局思维、主动探寻、积极影响、互相成就、真诚务实 </w:t>
      </w:r>
    </w:p>
    <w:p w14:paraId="041F6C5A">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工作能力 </w:t>
      </w:r>
    </w:p>
    <w:p w14:paraId="3EB9DE45">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主人翁精神、目标导向与创造性执行、主动沟通与协作、团队学习、系统思考与策略性、资源理解与整合、团队发展与激励、议题解读与分析 </w:t>
      </w:r>
    </w:p>
    <w:p w14:paraId="0D60D1FF">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黑体" w:hAnsi="黑体" w:eastAsia="黑体" w:cs="黑体"/>
          <w:b w:val="0"/>
          <w:bCs w:val="0"/>
          <w:color w:val="auto"/>
          <w:kern w:val="0"/>
          <w:sz w:val="32"/>
          <w:szCs w:val="32"/>
          <w:lang w:val="en-US" w:eastAsia="zh-CN" w:bidi="ar"/>
        </w:rPr>
      </w:pPr>
    </w:p>
    <w:p w14:paraId="73780FD4">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黑体" w:hAnsi="黑体" w:eastAsia="黑体" w:cs="黑体"/>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 xml:space="preserve">员工的五项工作原则 </w:t>
      </w:r>
    </w:p>
    <w:p w14:paraId="28DBAA35">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工作原则是我们对待不同伙伴、工作任务、基金会及同事的行为依据。基金 </w:t>
      </w:r>
    </w:p>
    <w:p w14:paraId="4625571B">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会的价值体系，过往经验以及当前面临的重点问题是工作原则提炼的重要输入。 </w:t>
      </w:r>
    </w:p>
    <w:p w14:paraId="67BE18F8">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青海湖生态保护基金会员工的五项工作原则其内涵如下： </w:t>
      </w:r>
    </w:p>
    <w:p w14:paraId="3A8FDBE9">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大局思维 </w:t>
      </w:r>
    </w:p>
    <w:p w14:paraId="20FE5587">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我们在提出工作方向和建议时，会从多个角度、站在各个相关方的立场上进行推演、论证，通过审慎的思考、论证提高建议的质量。同时，有意识地在 视野广度、议题深度、相关方理解程度等方面长期持续积累，从而不断提高全局 </w:t>
      </w:r>
    </w:p>
    <w:p w14:paraId="2A0CF585">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视角和策略能力。做到心中有大局，手里有算盘。 </w:t>
      </w:r>
    </w:p>
    <w:p w14:paraId="0904D01F">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我们站在机构层面去考虑所有工作事宜，积极主动承担责任，避免出现 “这是你（你们部门）的事，不是我的”这类思维和表达。既注重纵向沟通，也注重横向协同，在工作上、在团队中保持灵活快速的协作和充分及时的信息共享。 </w:t>
      </w:r>
    </w:p>
    <w:p w14:paraId="13F9BCE8">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我们引导和鼓励不同伙伴发挥自身优势和经验，重点在多元视角、策略方向、方法原则、资源链接等方面为伙伴创造价值，而不是在项目设计细节和操作细节上指手画脚。 </w:t>
      </w:r>
    </w:p>
    <w:p w14:paraId="50DBC906">
      <w:pPr>
        <w:keepNext w:val="0"/>
        <w:keepLines w:val="0"/>
        <w:pageBreakBefore w:val="0"/>
        <w:widowControl w:val="0"/>
        <w:suppressLineNumbers w:val="0"/>
        <w:tabs>
          <w:tab w:val="center" w:pos="4153"/>
        </w:tabs>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主动探寻 </w:t>
      </w:r>
      <w:r>
        <w:rPr>
          <w:rFonts w:hint="eastAsia" w:ascii="宋体" w:hAnsi="宋体" w:eastAsia="宋体" w:cs="宋体"/>
          <w:b/>
          <w:bCs/>
          <w:color w:val="auto"/>
          <w:kern w:val="0"/>
          <w:sz w:val="24"/>
          <w:szCs w:val="24"/>
          <w:lang w:val="en-US" w:eastAsia="zh-CN" w:bidi="ar"/>
        </w:rPr>
        <w:tab/>
      </w:r>
    </w:p>
    <w:p w14:paraId="1E18411E">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没有人对我们该做什么、该怎么做有十足的经验和把握，包括领导者。我们要以发现的心态去共同探索，而不是等待指示。但我们的探索不是漫无目的、浅尝辄止，而是一步一个脚印，系统、深入的思考，从多个角度论证、判断，使 每次探索都可以向前迈进一步。 </w:t>
      </w:r>
    </w:p>
    <w:p w14:paraId="4E2109C8">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我们主动去理解、探索、明确任务的目的、期望、背景，并力求多角度思维和突破。我们不只是完成工作任务，还要管理工作任务相关的人员：主动明确相关人员有哪些，主动去理解不同相关方的工作风格及标准，界定各自的角色和想法，积极主动的协作。在发起新的工作任务时，我们要向相关人阐述要做的理由、确定达成的目标及其标准，再决定是否进行。 </w:t>
      </w:r>
    </w:p>
    <w:p w14:paraId="49645230">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我们定期对工作任务做梳理，准确了解自己在不同工作任务上的时间分配、工作方法和成效，以此优化自己的任务和时间管理，也为基金会的工作任务安排提供决策依据。我们主动寻找提高工作成效和个人成长的方向和方法，主动利用机构内外部的支持资源，做自我发展的主人，将所有经历转化为个人成长的历练。</w:t>
      </w:r>
    </w:p>
    <w:p w14:paraId="103CB834">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积极影响 </w:t>
      </w:r>
    </w:p>
    <w:p w14:paraId="5E5C9BBA">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我们是青海湖与公益的连接者，是公益理念的传播者，是促进企业与公 益融合的桥梁。我们要主动去识别和企业、政府部门及公益伙伴的目标需求、工作标准、思维及语言习惯、以及对社会问题的理解程度。在此基础上，考虑自身能力、专长和作用，为不同伙伴提供建议和支持，甚至影响对方决策，而不是无条件的回应需求和执行。实现公益资源的最大化效用。 </w:t>
      </w:r>
    </w:p>
    <w:p w14:paraId="0A42A624">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在与企业接触的每个触点上，尊重参与，积极赋能，用简单易懂的方式促进他们对现代公益理念和社会议题的理解和投入。积极树立青海湖公益品牌，推动商业向善。 </w:t>
      </w:r>
    </w:p>
    <w:p w14:paraId="2F8754A6">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相互成就 </w:t>
      </w:r>
    </w:p>
    <w:p w14:paraId="62B672F6">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我们使命愿景的实现有赖于我们选择了怎样的伙伴，以及伙伴的成效和成长。我们致力于与志同道合的伙伴长期合作，既重视他们当下的项目产出，也重视支持他们的持续成长。我们对不同类型的伙伴和项目采取相适宜的对待方式，而不是僵硬的一刀切。我们主动让伙伴了解基金会的工作流程和节点，有重要变化时主动告知。我们通过激发伙伴追求更高标准，促进伙伴成长。 </w:t>
      </w:r>
    </w:p>
    <w:p w14:paraId="0457A4D7">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员工和基金会是互相成就的关系，在做成事、做好事的过程中成就自己和基金会。我们服务于基金会的使命愿景和目标，努力体会、把握基金会的方向和原则；也知道在方向和原则下有很多做事空间，主动将自身工作任务和个人成长与基金会的方向和原则建立连结，主动把自己的经验和智慧沉淀在基金会的流程、机制、标准中。 </w:t>
      </w:r>
    </w:p>
    <w:p w14:paraId="48B8A2DB">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同事之间的相互影响不取决于职位高低，而来自对事情的理解力、判断力，来自所提出的提案、建议的质量，以及对同事成长起到的帮助。我们敢于提出自己的想法和意见，并敢于据理力争；同时保持开放心态，既接受他人提出的意见，也接受自己的意见不被采纳。我们把自己放在团队中共同成长，主动挖掘、吸收同事的经验，也主动曝光、分享自己的经验。 </w:t>
      </w:r>
    </w:p>
    <w:p w14:paraId="56D574B0">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真诚务实 </w:t>
      </w:r>
    </w:p>
    <w:p w14:paraId="7BAAFF8F">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在工作态度上，我们真诚、开放、尊重、包容、谦逊、理性、务实，同时也勇于对伙伴、同事提出合理的要求，如尊重和遵守既定的程序、流程、制度，做到合法合规，不触碰底线。我们遇到矛盾、问题、以及分工协作边界不清时，会开诚布公的交流，而不是回避、试探、猜测。我们真诚、及时、直接、主动地 沟通交流彼此的想法，不把小问题、小情绪积累成大问题。 </w:t>
      </w:r>
    </w:p>
    <w:p w14:paraId="60442614">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我们知道资源和能力是有限的，在有大局意识、积极主动探索的同时，会根据资源、能力、环境、局势等现实情况，选择和制定适宜的方向、策略、目标、计划，并且严格按照既定安排执行。 </w:t>
      </w:r>
    </w:p>
    <w:p w14:paraId="29F02040">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我们扎实地做好每一份工作事项，通过一件件事项的达成积累能力经验。 对暂不能完全胜任的事项，我们真实面对，承认和寻找差距，更加有意识、有计划、有针对性地去发展相应的能力。不断培养自己在思想、行为、能力、情感方面的影响及感染力，成为值得信赖、能独立思考、可独当一面的人。</w:t>
      </w:r>
    </w:p>
    <w:p w14:paraId="23DEC61C">
      <w:pPr>
        <w:keepNext w:val="0"/>
        <w:keepLines w:val="0"/>
        <w:pageBreakBefore w:val="0"/>
        <w:widowControl w:val="0"/>
        <w:suppressLineNumbers w:val="0"/>
        <w:kinsoku/>
        <w:overflowPunct/>
        <w:autoSpaceDE/>
        <w:autoSpaceDN/>
        <w:bidi w:val="0"/>
        <w:adjustRightInd/>
        <w:snapToGrid/>
        <w:spacing w:line="360" w:lineRule="auto"/>
        <w:jc w:val="both"/>
        <w:textAlignment w:val="auto"/>
        <w:rPr>
          <w:rFonts w:hint="eastAsia" w:ascii="黑体" w:hAnsi="黑体" w:eastAsia="黑体" w:cs="黑体"/>
          <w:b w:val="0"/>
          <w:bCs w:val="0"/>
          <w:color w:val="auto"/>
          <w:kern w:val="0"/>
          <w:sz w:val="28"/>
          <w:szCs w:val="28"/>
          <w:lang w:val="en-US" w:eastAsia="zh-CN" w:bidi="ar"/>
        </w:rPr>
      </w:pPr>
      <w:r>
        <w:rPr>
          <w:rFonts w:hint="eastAsia" w:ascii="宋体" w:hAnsi="宋体" w:eastAsia="宋体" w:cs="宋体"/>
          <w:color w:val="auto"/>
          <w:kern w:val="0"/>
          <w:sz w:val="24"/>
          <w:szCs w:val="24"/>
          <w:lang w:val="en-US" w:eastAsia="zh-CN" w:bidi="ar"/>
        </w:rPr>
        <w:t xml:space="preserve"> </w:t>
      </w:r>
    </w:p>
    <w:p w14:paraId="1E05AF3E">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黑体" w:hAnsi="黑体" w:eastAsia="黑体" w:cs="黑体"/>
          <w:b w:val="0"/>
          <w:bCs w:val="0"/>
          <w:color w:val="auto"/>
          <w:kern w:val="0"/>
          <w:sz w:val="28"/>
          <w:szCs w:val="28"/>
          <w:lang w:val="en-US" w:eastAsia="zh-CN" w:bidi="ar"/>
        </w:rPr>
      </w:pPr>
      <w:r>
        <w:rPr>
          <w:rFonts w:hint="eastAsia" w:ascii="黑体" w:hAnsi="黑体" w:eastAsia="黑体" w:cs="黑体"/>
          <w:b w:val="0"/>
          <w:bCs w:val="0"/>
          <w:color w:val="auto"/>
          <w:kern w:val="0"/>
          <w:sz w:val="28"/>
          <w:szCs w:val="28"/>
          <w:lang w:val="en-US" w:eastAsia="zh-CN" w:bidi="ar"/>
        </w:rPr>
        <w:t xml:space="preserve">员工的八项工作能力 </w:t>
      </w:r>
    </w:p>
    <w:p w14:paraId="06291C1F">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b/>
          <w:bCs/>
          <w:color w:val="auto"/>
          <w:sz w:val="24"/>
          <w:szCs w:val="24"/>
        </w:rPr>
      </w:pPr>
      <w:r>
        <w:rPr>
          <w:rFonts w:hint="eastAsia" w:ascii="宋体" w:hAnsi="宋体" w:eastAsia="宋体" w:cs="宋体"/>
          <w:b/>
          <w:bCs/>
          <w:color w:val="auto"/>
          <w:kern w:val="0"/>
          <w:sz w:val="24"/>
          <w:szCs w:val="24"/>
          <w:lang w:val="en-US" w:eastAsia="zh-CN" w:bidi="ar"/>
        </w:rPr>
        <w:t xml:space="preserve">1.主人翁精神 </w:t>
      </w:r>
    </w:p>
    <w:p w14:paraId="2F852562">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拥有理想与实现理想的动力，善于将完善自我与实现基金会使命、 追求美好社会有机结合。主动寻找、发现任务目标并承担责任，能从工作中找到价值感和尊严感。 </w:t>
      </w:r>
    </w:p>
    <w:p w14:paraId="6A6C0F41">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b/>
          <w:bCs/>
          <w:color w:val="auto"/>
          <w:sz w:val="24"/>
          <w:szCs w:val="24"/>
        </w:rPr>
      </w:pPr>
      <w:r>
        <w:rPr>
          <w:rFonts w:hint="eastAsia" w:ascii="宋体" w:hAnsi="宋体" w:eastAsia="宋体" w:cs="宋体"/>
          <w:b/>
          <w:bCs/>
          <w:color w:val="auto"/>
          <w:kern w:val="0"/>
          <w:sz w:val="24"/>
          <w:szCs w:val="24"/>
          <w:lang w:val="en-US" w:eastAsia="zh-CN" w:bidi="ar"/>
        </w:rPr>
        <w:t xml:space="preserve">2.目标导向与创造性执行 </w:t>
      </w:r>
    </w:p>
    <w:p w14:paraId="359DFE4B">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把握工作方向、目的和目标，在目标指引下周全思考，制定工作计划并实施。注重过程也注重结果，通过复盘积累经验，持续改进以达到更优的工作成效。 </w:t>
      </w:r>
    </w:p>
    <w:p w14:paraId="58A8D43E">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3.主动沟通与协作</w:t>
      </w:r>
      <w:r>
        <w:rPr>
          <w:rFonts w:hint="eastAsia" w:ascii="宋体" w:hAnsi="宋体" w:eastAsia="宋体" w:cs="宋体"/>
          <w:color w:val="auto"/>
          <w:kern w:val="0"/>
          <w:sz w:val="24"/>
          <w:szCs w:val="24"/>
          <w:lang w:val="en-US" w:eastAsia="zh-CN" w:bidi="ar"/>
        </w:rPr>
        <w:t xml:space="preserve"> </w:t>
      </w:r>
    </w:p>
    <w:p w14:paraId="27B4F738">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创造坦诚的沟通氛围，主动界定并适时调整自身角色，通过沟通讨论及协作促进工作目标实现并与他人建立积极的工作关系。 </w:t>
      </w:r>
    </w:p>
    <w:p w14:paraId="25CAFC90">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b/>
          <w:bCs/>
          <w:color w:val="auto"/>
          <w:sz w:val="24"/>
          <w:szCs w:val="24"/>
        </w:rPr>
      </w:pPr>
      <w:r>
        <w:rPr>
          <w:rFonts w:hint="eastAsia" w:ascii="宋体" w:hAnsi="宋体" w:eastAsia="宋体" w:cs="宋体"/>
          <w:b/>
          <w:bCs/>
          <w:color w:val="auto"/>
          <w:kern w:val="0"/>
          <w:sz w:val="24"/>
          <w:szCs w:val="24"/>
          <w:lang w:val="en-US" w:eastAsia="zh-CN" w:bidi="ar"/>
        </w:rPr>
        <w:t xml:space="preserve">4.团队学习 </w:t>
      </w:r>
    </w:p>
    <w:p w14:paraId="70019786">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根据工作需要不断学习新知识、新技能并学以致用；不仅善于个人学习成长，也善于通过团队学习，还能激发团队共同学习的意愿，创造共同学习的机会，提高团队整体能量。 </w:t>
      </w:r>
    </w:p>
    <w:p w14:paraId="5D65399B">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5.系统思考与策略性 </w:t>
      </w:r>
    </w:p>
    <w:p w14:paraId="3E872558">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善于借用系统分析的手段，全面、系统、多角度、有逻辑地分析问题；透过复杂的表面现象, 抓住问题的实质和关键，并做出前瞻性判断，提出切实的解决方案。 </w:t>
      </w:r>
    </w:p>
    <w:p w14:paraId="031EA845">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6.资源理解与整合 </w:t>
      </w:r>
    </w:p>
    <w:p w14:paraId="2A7ED2BB">
      <w:pPr>
        <w:keepNext w:val="0"/>
        <w:keepLines w:val="0"/>
        <w:pageBreakBefore w:val="0"/>
        <w:widowControl w:val="0"/>
        <w:suppressLineNumbers w:val="0"/>
        <w:kinsoku/>
        <w:wordWrap w:val="0"/>
        <w:overflowPunct/>
        <w:topLinePunct/>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清晰自身定位和对资源的需求，多角度理解不同资源方的特点和诉求，从中找到建立多方合作的共鸣点，创造多赢合作方案。不断在建立和实施合作中加深相互理解和信任，并将这种理解积累为机构共有的知识。 </w:t>
      </w:r>
    </w:p>
    <w:p w14:paraId="23DDBEC0">
      <w:pPr>
        <w:keepNext w:val="0"/>
        <w:keepLines w:val="0"/>
        <w:pageBreakBefore w:val="0"/>
        <w:widowControl w:val="0"/>
        <w:suppressLineNumbers w:val="0"/>
        <w:kinsoku/>
        <w:overflowPunct/>
        <w:autoSpaceDE/>
        <w:autoSpaceDN/>
        <w:bidi w:val="0"/>
        <w:adjustRightInd/>
        <w:snapToGrid/>
        <w:spacing w:line="360" w:lineRule="auto"/>
        <w:jc w:val="left"/>
        <w:textAlignment w:val="auto"/>
        <w:rPr>
          <w:b/>
          <w:bCs/>
          <w:color w:val="auto"/>
          <w:sz w:val="24"/>
          <w:szCs w:val="24"/>
        </w:rPr>
      </w:pPr>
      <w:r>
        <w:rPr>
          <w:rFonts w:hint="eastAsia" w:ascii="宋体" w:hAnsi="宋体" w:eastAsia="宋体" w:cs="宋体"/>
          <w:b/>
          <w:bCs/>
          <w:color w:val="auto"/>
          <w:kern w:val="0"/>
          <w:sz w:val="24"/>
          <w:szCs w:val="24"/>
          <w:lang w:val="en-US" w:eastAsia="zh-CN" w:bidi="ar"/>
        </w:rPr>
        <w:t xml:space="preserve">7.团队发展与激励 </w:t>
      </w:r>
    </w:p>
    <w:p w14:paraId="6AED50C5">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建立并使团队成员承诺于团队目标及工作原则；促进团队成员间的信息流动，建立相互信任、依赖与协作的团队文化；创造学习型团队，激发团队的高标准和成就感。 </w:t>
      </w:r>
    </w:p>
    <w:p w14:paraId="1334A64C">
      <w:pPr>
        <w:keepNext w:val="0"/>
        <w:keepLines w:val="0"/>
        <w:pageBreakBefore w:val="0"/>
        <w:widowControl w:val="0"/>
        <w:suppressLineNumbers w:val="0"/>
        <w:kinsoku/>
        <w:overflowPunct/>
        <w:autoSpaceDE/>
        <w:autoSpaceDN/>
        <w:bidi w:val="0"/>
        <w:adjustRightInd/>
        <w:snapToGrid/>
        <w:spacing w:line="360" w:lineRule="auto"/>
        <w:jc w:val="left"/>
        <w:textAlignment w:val="auto"/>
        <w:rPr>
          <w:b/>
          <w:bCs/>
          <w:color w:val="auto"/>
          <w:sz w:val="24"/>
          <w:szCs w:val="24"/>
        </w:rPr>
      </w:pPr>
      <w:r>
        <w:rPr>
          <w:rFonts w:hint="eastAsia" w:ascii="宋体" w:hAnsi="宋体" w:eastAsia="宋体" w:cs="宋体"/>
          <w:b/>
          <w:bCs/>
          <w:color w:val="auto"/>
          <w:kern w:val="0"/>
          <w:sz w:val="24"/>
          <w:szCs w:val="24"/>
          <w:lang w:val="en-US" w:eastAsia="zh-CN" w:bidi="ar"/>
        </w:rPr>
        <w:t xml:space="preserve">8.议题解读与分析 </w:t>
      </w:r>
    </w:p>
    <w:p w14:paraId="63FCCCEC">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积极掌握本职工作所需的专业知识并拥有一定的技朮、技巧和经验支持工作顺利开展，运用领域的方法论建立问题分析和工作计划的框架。通过与本领域专家的互动提高工作的专业性。 </w:t>
      </w:r>
    </w:p>
    <w:p w14:paraId="381D292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员工能力的参考行为库 </w:t>
      </w:r>
    </w:p>
    <w:p w14:paraId="5A82ABEF">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1. 主人翁精神 </w:t>
      </w:r>
    </w:p>
    <w:p w14:paraId="48B3D0A1">
      <w:pPr>
        <w:keepNext w:val="0"/>
        <w:keepLines w:val="0"/>
        <w:pageBreakBefore w:val="0"/>
        <w:widowControl w:val="0"/>
        <w:suppressLineNumbers w:val="0"/>
        <w:kinsoku/>
        <w:overflowPunct/>
        <w:autoSpaceDE/>
        <w:autoSpaceDN/>
        <w:bidi w:val="0"/>
        <w:adjustRightInd/>
        <w:snapToGrid/>
        <w:spacing w:line="360" w:lineRule="auto"/>
        <w:ind w:firstLine="482" w:firstLineChars="200"/>
        <w:jc w:val="left"/>
        <w:textAlignment w:val="auto"/>
        <w:rPr>
          <w:color w:val="auto"/>
          <w:sz w:val="24"/>
          <w:szCs w:val="24"/>
        </w:rPr>
      </w:pPr>
      <w:r>
        <w:rPr>
          <w:rFonts w:hint="eastAsia" w:ascii="宋体" w:hAnsi="宋体" w:eastAsia="宋体" w:cs="宋体"/>
          <w:b/>
          <w:bCs/>
          <w:color w:val="auto"/>
          <w:kern w:val="0"/>
          <w:sz w:val="24"/>
          <w:szCs w:val="24"/>
          <w:lang w:val="en-US" w:eastAsia="zh-CN" w:bidi="ar"/>
        </w:rPr>
        <w:t>定义：</w:t>
      </w:r>
      <w:r>
        <w:rPr>
          <w:rFonts w:hint="eastAsia" w:ascii="宋体" w:hAnsi="宋体" w:eastAsia="宋体" w:cs="宋体"/>
          <w:color w:val="auto"/>
          <w:kern w:val="0"/>
          <w:sz w:val="24"/>
          <w:szCs w:val="24"/>
          <w:lang w:val="en-US" w:eastAsia="zh-CN" w:bidi="ar"/>
        </w:rPr>
        <w:t xml:space="preserve">拥有理想与实现理想的动力，善于将完善自我与实现基金会使命、追求美好社会有机结合。主动寻找、发现任务目标并承担责任，能从工作中找到价值感和尊严感。 </w:t>
      </w:r>
    </w:p>
    <w:p w14:paraId="61B9877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1.1 寻求解决社会问题、践行机构使命的行动方案，并乐在其中 </w:t>
      </w:r>
    </w:p>
    <w:p w14:paraId="4A7DD1FE">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1.2 在工作中保持积极心态及独立思考 </w:t>
      </w:r>
    </w:p>
    <w:p w14:paraId="37F52B95">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1.3 积极主动传播基金会和公益领域的理解和价值观 </w:t>
      </w:r>
    </w:p>
    <w:p w14:paraId="6E22D7AF">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1.4 根据发展要求，快速主动地调整个人的角色、观念及工作动力 </w:t>
      </w:r>
    </w:p>
    <w:p w14:paraId="1A445DA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1.5 为达到更高质量的结果，愿意付出额外的努力 </w:t>
      </w:r>
    </w:p>
    <w:p w14:paraId="406CDC54">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1.6 以积极的态度接受批评和建议并采取行动 </w:t>
      </w:r>
    </w:p>
    <w:p w14:paraId="1E49F7FC">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1.7 不断挑战现状并提出有效的改进思路、方法 </w:t>
      </w:r>
    </w:p>
    <w:p w14:paraId="319C13C7">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2. 目标导向与创造性执行 </w:t>
      </w:r>
    </w:p>
    <w:p w14:paraId="0B48593B">
      <w:pPr>
        <w:keepNext w:val="0"/>
        <w:keepLines w:val="0"/>
        <w:pageBreakBefore w:val="0"/>
        <w:widowControl w:val="0"/>
        <w:suppressLineNumbers w:val="0"/>
        <w:kinsoku/>
        <w:overflowPunct/>
        <w:autoSpaceDE/>
        <w:autoSpaceDN/>
        <w:bidi w:val="0"/>
        <w:adjustRightInd/>
        <w:snapToGrid/>
        <w:spacing w:line="360" w:lineRule="auto"/>
        <w:ind w:firstLine="482" w:firstLineChars="200"/>
        <w:jc w:val="left"/>
        <w:textAlignment w:val="auto"/>
        <w:rPr>
          <w:color w:val="auto"/>
          <w:sz w:val="24"/>
          <w:szCs w:val="24"/>
        </w:rPr>
      </w:pPr>
      <w:r>
        <w:rPr>
          <w:rFonts w:hint="eastAsia" w:ascii="宋体" w:hAnsi="宋体" w:eastAsia="宋体" w:cs="宋体"/>
          <w:b/>
          <w:bCs/>
          <w:color w:val="auto"/>
          <w:kern w:val="0"/>
          <w:sz w:val="24"/>
          <w:szCs w:val="24"/>
          <w:lang w:val="en-US" w:eastAsia="zh-CN" w:bidi="ar"/>
        </w:rPr>
        <w:t>定义：</w:t>
      </w:r>
      <w:r>
        <w:rPr>
          <w:rFonts w:hint="eastAsia" w:ascii="宋体" w:hAnsi="宋体" w:eastAsia="宋体" w:cs="宋体"/>
          <w:color w:val="auto"/>
          <w:kern w:val="0"/>
          <w:sz w:val="24"/>
          <w:szCs w:val="24"/>
          <w:lang w:val="en-US" w:eastAsia="zh-CN" w:bidi="ar"/>
        </w:rPr>
        <w:t xml:space="preserve">把握工作方向、目的和目标，在目标指引下周全思考，制定工作计划并实施。注重过程也注重结果，通过复盘积累经验，持续改进以达到更优的工作成效。 </w:t>
      </w:r>
    </w:p>
    <w:p w14:paraId="2DC2759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2.1 始终把握工作任务的出发点、目的及约束条件 </w:t>
      </w:r>
    </w:p>
    <w:p w14:paraId="6332CD4A">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2.2 紧密跟进计划的实施和落实，及时汇报及修正偏差 </w:t>
      </w:r>
    </w:p>
    <w:p w14:paraId="2CF70147">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2.3 总结日常工作中的经验、教训，持续不断地优化和简化工作方法、流程 </w:t>
      </w:r>
    </w:p>
    <w:p w14:paraId="4DFF10C5">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2.4 在执行工作任务过程中发现和捕捉增加价值的机会 </w:t>
      </w:r>
    </w:p>
    <w:p w14:paraId="0AFA6E2F">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2.5 注重并不断提高时间管理的效度 </w:t>
      </w:r>
    </w:p>
    <w:p w14:paraId="202AA18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2.6 注重分清事情的主次优先顺序，在执行过程中抓住关键点 </w:t>
      </w:r>
    </w:p>
    <w:p w14:paraId="04F9F18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2.7 多任务及工作重点并存时，找准当期关键事项，短时间内予以专注 </w:t>
      </w:r>
    </w:p>
    <w:p w14:paraId="2306DE6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2.8 接到工作要求，迅速行动，赶早不赶晚 </w:t>
      </w:r>
    </w:p>
    <w:p w14:paraId="2ADBB37B">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2.9 对简单重复性的工作及小事每次都坚持做好 </w:t>
      </w:r>
    </w:p>
    <w:p w14:paraId="6759D340">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2.10 即使时间紧迫或有其他压力，也坚持要保证工作的质量</w:t>
      </w:r>
    </w:p>
    <w:p w14:paraId="202CE155">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3. 主动沟通与协作 </w:t>
      </w:r>
    </w:p>
    <w:p w14:paraId="4AAD5F7E">
      <w:pPr>
        <w:keepNext w:val="0"/>
        <w:keepLines w:val="0"/>
        <w:pageBreakBefore w:val="0"/>
        <w:widowControl w:val="0"/>
        <w:suppressLineNumbers w:val="0"/>
        <w:kinsoku/>
        <w:overflowPunct/>
        <w:autoSpaceDE/>
        <w:autoSpaceDN/>
        <w:bidi w:val="0"/>
        <w:adjustRightInd/>
        <w:snapToGrid/>
        <w:spacing w:line="360" w:lineRule="auto"/>
        <w:ind w:firstLine="482" w:firstLineChars="200"/>
        <w:jc w:val="left"/>
        <w:textAlignment w:val="auto"/>
        <w:rPr>
          <w:color w:val="auto"/>
          <w:sz w:val="24"/>
          <w:szCs w:val="24"/>
        </w:rPr>
      </w:pPr>
      <w:r>
        <w:rPr>
          <w:rFonts w:hint="eastAsia" w:ascii="宋体" w:hAnsi="宋体" w:eastAsia="宋体" w:cs="宋体"/>
          <w:b/>
          <w:bCs/>
          <w:color w:val="auto"/>
          <w:kern w:val="0"/>
          <w:sz w:val="24"/>
          <w:szCs w:val="24"/>
          <w:lang w:val="en-US" w:eastAsia="zh-CN" w:bidi="ar"/>
        </w:rPr>
        <w:t>定义：</w:t>
      </w:r>
      <w:r>
        <w:rPr>
          <w:rFonts w:hint="eastAsia" w:ascii="宋体" w:hAnsi="宋体" w:eastAsia="宋体" w:cs="宋体"/>
          <w:color w:val="auto"/>
          <w:kern w:val="0"/>
          <w:sz w:val="24"/>
          <w:szCs w:val="24"/>
          <w:lang w:val="en-US" w:eastAsia="zh-CN" w:bidi="ar"/>
        </w:rPr>
        <w:t xml:space="preserve">创造坦诚的沟通氛围，主动界定并适时调整自身角色，通过沟通讨论及协作促进工作目标实现并与他人建立积极的工作关系。 </w:t>
      </w:r>
    </w:p>
    <w:p w14:paraId="35034838">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3.1 为达成高效沟通、讨论，在沟通讨论之前做必要的准备 </w:t>
      </w:r>
    </w:p>
    <w:p w14:paraId="52B84A3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3.2 撰写邮件、报告等文件时力求条理清楚、用语准确 </w:t>
      </w:r>
    </w:p>
    <w:p w14:paraId="43AA1767">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3.3 先倾听了解他人的真实意图和观点，然后再做出反应 </w:t>
      </w:r>
    </w:p>
    <w:p w14:paraId="297AD7E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3.4 对方表达不清时，通过有效追问或提炼确定理解的准确性 </w:t>
      </w:r>
    </w:p>
    <w:p w14:paraId="465D5114">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3.5 在沟通讨论中敏感地察觉对象的反应并做出适合的调整 </w:t>
      </w:r>
    </w:p>
    <w:p w14:paraId="7121EB20">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3.6 沟通讨论结束之前，确认已达成的一致理解 </w:t>
      </w:r>
    </w:p>
    <w:p w14:paraId="0D71CF12">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3.7 通过正式/非正式的方式与沟通、协作对象建立信任关系 </w:t>
      </w:r>
    </w:p>
    <w:p w14:paraId="03FE3E5C">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3.8 注重与协作人员就共同目标、协作原则达成一致 </w:t>
      </w:r>
    </w:p>
    <w:p w14:paraId="2BEF009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3.9 在混乱与变化中主动、及时更新进展，保持信息一致 </w:t>
      </w:r>
    </w:p>
    <w:p w14:paraId="650BCB5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3.10 对模糊的工作任务，主动探究、明确工作目标并及时沟通 </w:t>
      </w:r>
    </w:p>
    <w:p w14:paraId="3747BCBA">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3.11 对工作阶段性成果和问题主动及时汇报沟通 </w:t>
      </w:r>
    </w:p>
    <w:p w14:paraId="487CD5AE">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3.12 对承诺的事情积极、及时落实，不能按时实现时及早沟通 </w:t>
      </w:r>
    </w:p>
    <w:p w14:paraId="23E837F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3.13 有需要时主动替其他人补位 </w:t>
      </w:r>
    </w:p>
    <w:p w14:paraId="2E4D1F59">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3.14 沟通时有问题不推诿责任，而是首先去解决问题 </w:t>
      </w:r>
    </w:p>
    <w:p w14:paraId="454B414B">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3.15 激发成员之间不同观点的交锋和互相提问使讨论深入 </w:t>
      </w:r>
    </w:p>
    <w:p w14:paraId="0209CB18">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3.16 运用多种渠道从不同角度传达同一信息来加强沟通效果</w:t>
      </w:r>
    </w:p>
    <w:p w14:paraId="253715BC">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4. 团队学习 </w:t>
      </w:r>
    </w:p>
    <w:p w14:paraId="38543C20">
      <w:pPr>
        <w:keepNext w:val="0"/>
        <w:keepLines w:val="0"/>
        <w:pageBreakBefore w:val="0"/>
        <w:widowControl w:val="0"/>
        <w:suppressLineNumbers w:val="0"/>
        <w:kinsoku/>
        <w:overflowPunct/>
        <w:autoSpaceDE/>
        <w:autoSpaceDN/>
        <w:bidi w:val="0"/>
        <w:adjustRightInd/>
        <w:snapToGrid/>
        <w:spacing w:line="360" w:lineRule="auto"/>
        <w:ind w:firstLine="482" w:firstLineChars="200"/>
        <w:jc w:val="left"/>
        <w:textAlignment w:val="auto"/>
        <w:rPr>
          <w:color w:val="auto"/>
          <w:sz w:val="24"/>
          <w:szCs w:val="24"/>
        </w:rPr>
      </w:pPr>
      <w:r>
        <w:rPr>
          <w:rFonts w:hint="eastAsia" w:ascii="宋体" w:hAnsi="宋体" w:eastAsia="宋体" w:cs="宋体"/>
          <w:b/>
          <w:bCs/>
          <w:color w:val="auto"/>
          <w:kern w:val="0"/>
          <w:sz w:val="24"/>
          <w:szCs w:val="24"/>
          <w:lang w:val="en-US" w:eastAsia="zh-CN" w:bidi="ar"/>
        </w:rPr>
        <w:t>定义：</w:t>
      </w:r>
      <w:r>
        <w:rPr>
          <w:rFonts w:hint="eastAsia" w:ascii="宋体" w:hAnsi="宋体" w:eastAsia="宋体" w:cs="宋体"/>
          <w:color w:val="auto"/>
          <w:kern w:val="0"/>
          <w:sz w:val="24"/>
          <w:szCs w:val="24"/>
          <w:lang w:val="en-US" w:eastAsia="zh-CN" w:bidi="ar"/>
        </w:rPr>
        <w:t xml:space="preserve">根据工作需要不断学习新知识、新技能并学以致用；不仅善于个人学习成长，也善于通过团队学习，还能激发团队共同学习的意愿，创造共同学习的机会，提高团队整体能量。 </w:t>
      </w:r>
    </w:p>
    <w:p w14:paraId="374FF61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4.1 需要通过新技能达成目标时主动快速学习，而非等待他人 </w:t>
      </w:r>
    </w:p>
    <w:p w14:paraId="40B1C029">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4.2 以结果为导向去掌握完成一项工作所需的所有环节和技能 </w:t>
      </w:r>
    </w:p>
    <w:p w14:paraId="65652525">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4.3 通过召集团队对典型案例的复盘和剖析，促进个人及团队成长 </w:t>
      </w:r>
    </w:p>
    <w:p w14:paraId="57E00CF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4.4 通过与他人分享学习心得巩固提升学习成果，扩散学习的影响 </w:t>
      </w:r>
    </w:p>
    <w:p w14:paraId="76F128E5">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4.5 将自己学习到的知识沉淀成文字、工具、案例等，成为团队可以学习借鉴4.6 善于发现他人可以值得学习的东西，非功利的学习 </w:t>
      </w:r>
    </w:p>
    <w:p w14:paraId="14747F82">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4.7 处处留心，在任何场合、与任何人的互动中去发现、捕捉收获 </w:t>
      </w:r>
    </w:p>
    <w:p w14:paraId="3648AC1E">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4.8 乐于应用、甚至复制他人行之有效的方法，并使其成为团队习惯 </w:t>
      </w:r>
    </w:p>
    <w:p w14:paraId="76DD77A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4.9 注重让团队成员在参与过程中获得价值、收获和成长，激发自信、自豪和团队凝聚力 </w:t>
      </w:r>
    </w:p>
    <w:p w14:paraId="1AA27C48">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4.10 时常跳出圈子，学习引入其他行业前沿或成熟的思维、工作方式方法 </w:t>
      </w:r>
    </w:p>
    <w:p w14:paraId="5B68E76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4.11 从长远角度看待当前工作的价值及阻碍，把阻碍当作激发团队斗志和能量的机会 </w:t>
      </w:r>
    </w:p>
    <w:p w14:paraId="5F2F78E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5. 系统思考与策略性 </w:t>
      </w:r>
    </w:p>
    <w:p w14:paraId="733F698E">
      <w:pPr>
        <w:keepNext w:val="0"/>
        <w:keepLines w:val="0"/>
        <w:pageBreakBefore w:val="0"/>
        <w:widowControl w:val="0"/>
        <w:suppressLineNumbers w:val="0"/>
        <w:kinsoku/>
        <w:overflowPunct/>
        <w:autoSpaceDE/>
        <w:autoSpaceDN/>
        <w:bidi w:val="0"/>
        <w:adjustRightInd/>
        <w:snapToGrid/>
        <w:spacing w:line="360" w:lineRule="auto"/>
        <w:ind w:firstLine="482" w:firstLineChars="200"/>
        <w:jc w:val="left"/>
        <w:textAlignment w:val="auto"/>
        <w:rPr>
          <w:color w:val="auto"/>
          <w:sz w:val="24"/>
          <w:szCs w:val="24"/>
        </w:rPr>
      </w:pPr>
      <w:r>
        <w:rPr>
          <w:rFonts w:hint="eastAsia" w:ascii="宋体" w:hAnsi="宋体" w:eastAsia="宋体" w:cs="宋体"/>
          <w:b/>
          <w:bCs/>
          <w:color w:val="auto"/>
          <w:kern w:val="0"/>
          <w:sz w:val="24"/>
          <w:szCs w:val="24"/>
          <w:lang w:val="en-US" w:eastAsia="zh-CN" w:bidi="ar"/>
        </w:rPr>
        <w:t>定义：</w:t>
      </w:r>
      <w:r>
        <w:rPr>
          <w:rFonts w:hint="eastAsia" w:ascii="宋体" w:hAnsi="宋体" w:eastAsia="宋体" w:cs="宋体"/>
          <w:color w:val="auto"/>
          <w:kern w:val="0"/>
          <w:sz w:val="24"/>
          <w:szCs w:val="24"/>
          <w:lang w:val="en-US" w:eastAsia="zh-CN" w:bidi="ar"/>
        </w:rPr>
        <w:t xml:space="preserve">善于借用系统分析的手段，全面、系统、多角度、有逻辑地分析问题；透过复杂的表面现象, 抓住问题的实质和关键，并做出前瞻性判断，提出切实的解决方案。 </w:t>
      </w:r>
    </w:p>
    <w:p w14:paraId="4A9204C2">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5.1 首先界定、诊断问题，然后再提供解决方案 </w:t>
      </w:r>
    </w:p>
    <w:p w14:paraId="31CDE2D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5.2 努力去理解一个问题中不同部分的彼此关联，从整体来看问题 </w:t>
      </w:r>
    </w:p>
    <w:p w14:paraId="27AF3B20">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5.3 挖掘关键及根本原因，并优先解决关键及根本问题 </w:t>
      </w:r>
    </w:p>
    <w:p w14:paraId="6786C2DE">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5.4 关注关键细节，注重从小事的本质中发现大问题的苗头 </w:t>
      </w:r>
    </w:p>
    <w:p w14:paraId="3A9524C6">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5.5 解决问题时充分考虑潜在及长期风险 </w:t>
      </w:r>
    </w:p>
    <w:p w14:paraId="120A660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5.6 预判实施过程中的关键困难及潜在风险，提前制定预案 </w:t>
      </w:r>
    </w:p>
    <w:p w14:paraId="6407CA5E">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5.7 把经常做的事情梳理成系统、成方法、成套路 </w:t>
      </w:r>
    </w:p>
    <w:p w14:paraId="2B417059">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5.8 用简单易懂的语言和模型、框架来表述自己对事物规律的认知 </w:t>
      </w:r>
    </w:p>
    <w:p w14:paraId="4E50AFB5">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5.9 对重要结论的数字和信息高度敏感，追求精确，以此来决策 </w:t>
      </w:r>
    </w:p>
    <w:p w14:paraId="4E069C0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5.10 不断观察、总结优秀的工作方法并沉淀为参考标准 </w:t>
      </w:r>
    </w:p>
    <w:p w14:paraId="34EC6902">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5.11 意识到资源、能力的局限性而果断取舍，突出重点 </w:t>
      </w:r>
    </w:p>
    <w:p w14:paraId="5C2DC82F">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5.12 平衡实效性与有效性，在需要时敢于选择满意解而非最优解 </w:t>
      </w:r>
    </w:p>
    <w:p w14:paraId="603DF870">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5.13 注重探索适合性、可行性而非仅仅停留在事情本身的正确性</w:t>
      </w:r>
    </w:p>
    <w:p w14:paraId="2417AD6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6. 资源理解与整合 </w:t>
      </w:r>
    </w:p>
    <w:p w14:paraId="7E40E004">
      <w:pPr>
        <w:keepNext w:val="0"/>
        <w:keepLines w:val="0"/>
        <w:pageBreakBefore w:val="0"/>
        <w:widowControl w:val="0"/>
        <w:suppressLineNumbers w:val="0"/>
        <w:kinsoku/>
        <w:overflowPunct/>
        <w:autoSpaceDE/>
        <w:autoSpaceDN/>
        <w:bidi w:val="0"/>
        <w:adjustRightInd/>
        <w:snapToGrid/>
        <w:spacing w:line="360" w:lineRule="auto"/>
        <w:ind w:firstLine="482" w:firstLineChars="200"/>
        <w:jc w:val="left"/>
        <w:textAlignment w:val="auto"/>
        <w:rPr>
          <w:color w:val="auto"/>
          <w:sz w:val="24"/>
          <w:szCs w:val="24"/>
        </w:rPr>
      </w:pPr>
      <w:r>
        <w:rPr>
          <w:rFonts w:hint="eastAsia" w:ascii="宋体" w:hAnsi="宋体" w:eastAsia="宋体" w:cs="宋体"/>
          <w:b/>
          <w:bCs/>
          <w:color w:val="auto"/>
          <w:kern w:val="0"/>
          <w:sz w:val="24"/>
          <w:szCs w:val="24"/>
          <w:lang w:val="en-US" w:eastAsia="zh-CN" w:bidi="ar"/>
        </w:rPr>
        <w:t>定义：</w:t>
      </w:r>
      <w:r>
        <w:rPr>
          <w:rFonts w:hint="eastAsia" w:ascii="宋体" w:hAnsi="宋体" w:eastAsia="宋体" w:cs="宋体"/>
          <w:color w:val="auto"/>
          <w:kern w:val="0"/>
          <w:sz w:val="24"/>
          <w:szCs w:val="24"/>
          <w:lang w:val="en-US" w:eastAsia="zh-CN" w:bidi="ar"/>
        </w:rPr>
        <w:t xml:space="preserve">清晰自身定位和对资源的需求，多角度理解不同资源方的特点和诉求，从中找到建立多方合作的共鸣点，创造多赢合作方案。不断在建立和实施合作中加深相互理解和信任，并将这种理解积累为机构共有的知识。 </w:t>
      </w:r>
    </w:p>
    <w:p w14:paraId="482AB397">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6.1 多角度深入理解及把握出资方及不同利益相关方的意图和其选择背后的原因 </w:t>
      </w:r>
    </w:p>
    <w:p w14:paraId="77D48F8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6.2 引导出资方理解、尊重公益领域的规则，避免商业及政府逻辑的简单套用 </w:t>
      </w:r>
    </w:p>
    <w:p w14:paraId="3B30305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6.3 找到核心影响者，通过影响他们推动目标实现 </w:t>
      </w:r>
    </w:p>
    <w:p w14:paraId="5911F0D2">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6.4 先理解和尊重他们对社会问题的认知水平，再通过适度的社会问题解读吸引和影响他们 </w:t>
      </w:r>
    </w:p>
    <w:p w14:paraId="4A33B319">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6.5 持续宣讲机构使命、愿景、价值观、项目/模式/产品等，促进他们对基金会的认知 </w:t>
      </w:r>
    </w:p>
    <w:p w14:paraId="1F8F5778">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6.6 创造合适的机会让他们参与项目/模式/产品的设计 </w:t>
      </w:r>
    </w:p>
    <w:p w14:paraId="07E9937C">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6.7 主动做好与关联方/上下游环节的工作衔接 </w:t>
      </w:r>
    </w:p>
    <w:p w14:paraId="1DBC1FF9">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6.8 不断反馈和认可资源的效用和价值，使他们拥有成就感 </w:t>
      </w:r>
    </w:p>
    <w:p w14:paraId="73695805">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6.9 在多边关系中，找到共鸣点，促进有价值的合作 </w:t>
      </w:r>
    </w:p>
    <w:p w14:paraId="1AB28B97">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6.10 尊重差异性，引导各方做出合理让步和妥协，达成共赢 </w:t>
      </w:r>
    </w:p>
    <w:p w14:paraId="625441B2">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6.11 在注重价值观/情感/愿景共鸣的同时，也重视具体目标和规则（责权利）的制定 </w:t>
      </w:r>
    </w:p>
    <w:p w14:paraId="44C91B59">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6.12 把握原则和底线，不因短期利益而给伙伴过度承诺 </w:t>
      </w:r>
    </w:p>
    <w:p w14:paraId="5B6C78EF">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6.13 预见在多方合作关系中可能出现的问题并事前规避</w:t>
      </w:r>
    </w:p>
    <w:p w14:paraId="190D5FB6">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7. 团队发展与激励 </w:t>
      </w:r>
    </w:p>
    <w:p w14:paraId="09EF17EA">
      <w:pPr>
        <w:keepNext w:val="0"/>
        <w:keepLines w:val="0"/>
        <w:pageBreakBefore w:val="0"/>
        <w:widowControl w:val="0"/>
        <w:suppressLineNumbers w:val="0"/>
        <w:kinsoku/>
        <w:overflowPunct/>
        <w:autoSpaceDE/>
        <w:autoSpaceDN/>
        <w:bidi w:val="0"/>
        <w:adjustRightInd/>
        <w:snapToGrid/>
        <w:spacing w:line="360" w:lineRule="auto"/>
        <w:ind w:firstLine="482" w:firstLineChars="200"/>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定义： </w:t>
      </w:r>
      <w:r>
        <w:rPr>
          <w:rFonts w:hint="eastAsia" w:ascii="宋体" w:hAnsi="宋体" w:eastAsia="宋体" w:cs="宋体"/>
          <w:color w:val="auto"/>
          <w:kern w:val="0"/>
          <w:sz w:val="24"/>
          <w:szCs w:val="24"/>
          <w:lang w:val="en-US" w:eastAsia="zh-CN" w:bidi="ar"/>
        </w:rPr>
        <w:t xml:space="preserve">建立并使团队成员承诺于团队目标及工作原则；促进团队成员间的信息流动，建立相互信任、依赖与协作的团队文化；创造学习型团队，激发团队的高标准和成就感。 </w:t>
      </w:r>
    </w:p>
    <w:p w14:paraId="3CBD8988">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7.1 制定有挑战性且切实可行的团队目标 </w:t>
      </w:r>
    </w:p>
    <w:p w14:paraId="583853F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7.2 进行目标分解并选择适当的、有挑战性的任务进行团队共创以促进团队凝聚力 </w:t>
      </w:r>
    </w:p>
    <w:p w14:paraId="526822BF">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7.3 及时公开和分享信息，帮助团队把握工作方向、重点、意义及价值 </w:t>
      </w:r>
    </w:p>
    <w:p w14:paraId="615DE14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7.4 帮助团队成员了解工作的独立性及相互依赖性 </w:t>
      </w:r>
    </w:p>
    <w:p w14:paraId="51E99C9B">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7.5 持续创造有温度又有战斗力的氛围，适时庆祝成绩并分享荣耀和成就 </w:t>
      </w:r>
    </w:p>
    <w:p w14:paraId="44D0DAD8">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7.6 通过及时庆祝阶段性的成果及个案成功来进行自我激励和团队激励 </w:t>
      </w:r>
    </w:p>
    <w:p w14:paraId="0C641C2A">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7.7 注重激发团队力量共同承担压力，互相学习，沉淀团队经验 </w:t>
      </w:r>
    </w:p>
    <w:p w14:paraId="56E8FCA4">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7.8 不断评估和感知团队士气及变化，有针对性地帮助团队成员卸载压力和思想包袱 </w:t>
      </w:r>
    </w:p>
    <w:p w14:paraId="26F5C28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7.9 利用差异所带来的势能激发团队竞争及提高工作标准 </w:t>
      </w:r>
    </w:p>
    <w:p w14:paraId="64FB6B77">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7.10 尊重成员自主性，鼓励自由思考，让相关人员参与共创 </w:t>
      </w:r>
    </w:p>
    <w:p w14:paraId="32C5EE3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7.11 以全面、多样化的标准来评价和任用人才，允许非原则性错误 </w:t>
      </w:r>
    </w:p>
    <w:p w14:paraId="22883A5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7.12 及时果断处理不符合基金会要求的人和事 </w:t>
      </w:r>
    </w:p>
    <w:p w14:paraId="610AE35B">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7.13 为基金会的使命、愿景、价值观及长期成果的实现敢于做出短期痛苦的决定 </w:t>
      </w:r>
    </w:p>
    <w:p w14:paraId="58E972EF">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8. 议题解读与分析 </w:t>
      </w:r>
    </w:p>
    <w:p w14:paraId="77E64686">
      <w:pPr>
        <w:keepNext w:val="0"/>
        <w:keepLines w:val="0"/>
        <w:pageBreakBefore w:val="0"/>
        <w:widowControl w:val="0"/>
        <w:suppressLineNumbers w:val="0"/>
        <w:kinsoku/>
        <w:overflowPunct/>
        <w:autoSpaceDE/>
        <w:autoSpaceDN/>
        <w:bidi w:val="0"/>
        <w:adjustRightInd/>
        <w:snapToGrid/>
        <w:spacing w:line="360" w:lineRule="auto"/>
        <w:ind w:firstLine="482" w:firstLineChars="200"/>
        <w:jc w:val="left"/>
        <w:textAlignment w:val="auto"/>
        <w:rPr>
          <w:color w:val="auto"/>
          <w:sz w:val="24"/>
          <w:szCs w:val="24"/>
        </w:rPr>
      </w:pPr>
      <w:r>
        <w:rPr>
          <w:rFonts w:hint="eastAsia" w:ascii="宋体" w:hAnsi="宋体" w:eastAsia="宋体" w:cs="宋体"/>
          <w:b/>
          <w:bCs/>
          <w:color w:val="auto"/>
          <w:kern w:val="0"/>
          <w:sz w:val="24"/>
          <w:szCs w:val="24"/>
          <w:lang w:val="en-US" w:eastAsia="zh-CN" w:bidi="ar"/>
        </w:rPr>
        <w:t xml:space="preserve">定义： </w:t>
      </w:r>
      <w:r>
        <w:rPr>
          <w:rFonts w:hint="eastAsia" w:ascii="宋体" w:hAnsi="宋体" w:eastAsia="宋体" w:cs="宋体"/>
          <w:color w:val="auto"/>
          <w:kern w:val="0"/>
          <w:sz w:val="24"/>
          <w:szCs w:val="24"/>
          <w:lang w:val="en-US" w:eastAsia="zh-CN" w:bidi="ar"/>
        </w:rPr>
        <w:t xml:space="preserve">积极掌握本职工作所需的专业知识并拥有一定的技朮、技巧和经验支持工作顺利开展，运用领域的方法论建立问题分析和工作计划的框架。通过与本领域专家的互动提高工作的专业性。 </w:t>
      </w:r>
    </w:p>
    <w:p w14:paraId="724081C7">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8.1 注重从一线和实践中直接感知问题 </w:t>
      </w:r>
    </w:p>
    <w:p w14:paraId="311A3A3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8.2 注重社会/专业领域相关理论及方法论的学习以提高对社会问题/专业问题的理解力 </w:t>
      </w:r>
    </w:p>
    <w:p w14:paraId="057A8EF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8.3 通过与他人互动讨论、对话，提高对社会问题/专业问题的解读和解决能力 </w:t>
      </w:r>
    </w:p>
    <w:p w14:paraId="17FF5B14">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8.4 敢于引入略高于当期工作和行业发展水平的理念和策略 </w:t>
      </w:r>
    </w:p>
    <w:p w14:paraId="50BCA629">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8.5 着重于提出具体分析结论甚至建议而不是空讲道理 </w:t>
      </w:r>
    </w:p>
    <w:p w14:paraId="409C0755">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8.6 在不断变化的社会环境条件下敏锐把握社会问题的发展 </w:t>
      </w:r>
    </w:p>
    <w:p w14:paraId="378CAE76">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8.7 注重分析预测议题领域的关键影响因素及未来变化 </w:t>
      </w:r>
    </w:p>
    <w:p w14:paraId="250654B2">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8.8 以赋能他人为出发点来探究需求、设计方案、开展工作</w:t>
      </w:r>
    </w:p>
    <w:p w14:paraId="5536217C">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kern w:val="0"/>
          <w:sz w:val="28"/>
          <w:szCs w:val="28"/>
          <w:lang w:val="en-US" w:eastAsia="zh-CN" w:bidi="ar"/>
        </w:rPr>
      </w:pPr>
    </w:p>
    <w:p w14:paraId="33628853">
      <w:pPr>
        <w:keepNext w:val="0"/>
        <w:keepLines w:val="0"/>
        <w:pageBreakBefore w:val="0"/>
        <w:widowControl w:val="0"/>
        <w:suppressLineNumbers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kern w:val="0"/>
          <w:sz w:val="28"/>
          <w:szCs w:val="28"/>
          <w:lang w:val="en-US" w:eastAsia="zh-CN" w:bidi="ar"/>
        </w:rPr>
      </w:pPr>
      <w:r>
        <w:rPr>
          <w:rFonts w:hint="eastAsia" w:ascii="黑体" w:hAnsi="黑体" w:eastAsia="黑体" w:cs="黑体"/>
          <w:b w:val="0"/>
          <w:bCs w:val="0"/>
          <w:color w:val="auto"/>
          <w:kern w:val="0"/>
          <w:sz w:val="28"/>
          <w:szCs w:val="28"/>
          <w:lang w:val="en-US" w:eastAsia="zh-CN" w:bidi="ar"/>
        </w:rPr>
        <w:t xml:space="preserve">员工发展及培养措施 </w:t>
      </w:r>
    </w:p>
    <w:p w14:paraId="6AB3E1C4">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青海湖生态保护基金会的员工发展及培养，注重将成就优秀个人、沉淀经验知识、培育机构内部社会资本有机结合。在员工发展及培养中具备这样几项特征和功能： </w:t>
      </w:r>
    </w:p>
    <w:p w14:paraId="1E49BEAD">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1. 机构提供清晰的方向、路径及制度支持，</w:t>
      </w:r>
      <w:r>
        <w:rPr>
          <w:rFonts w:hint="eastAsia" w:ascii="宋体" w:hAnsi="宋体" w:eastAsia="宋体" w:cs="宋体"/>
          <w:b/>
          <w:bCs/>
          <w:color w:val="auto"/>
          <w:kern w:val="0"/>
          <w:sz w:val="24"/>
          <w:szCs w:val="24"/>
          <w:lang w:val="en-US" w:eastAsia="zh-CN" w:bidi="ar"/>
        </w:rPr>
        <w:t xml:space="preserve">员工是自我发展的主要责任人， 要主动和充分运用机构制度发展自己； </w:t>
      </w:r>
    </w:p>
    <w:p w14:paraId="1ABCD26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 员工能力发展与工作发展紧密结合； </w:t>
      </w:r>
    </w:p>
    <w:p w14:paraId="0150885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 注重团队共同学习和成长； </w:t>
      </w:r>
    </w:p>
    <w:p w14:paraId="4DBC9363">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 逐渐积累形成自有的、专有的知识沉淀。 </w:t>
      </w:r>
    </w:p>
    <w:p w14:paraId="36F5D880">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将重点采用以下 3 种措施：月度集体进化会、个人工作及发展计划制、培训支持。 </w:t>
      </w:r>
    </w:p>
    <w:p w14:paraId="2C66ADD7">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月度集体进化会： </w:t>
      </w:r>
    </w:p>
    <w:p w14:paraId="76CD180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目的：促进团队共同学习，提高机构及个人的绩效及能力。 </w:t>
      </w:r>
    </w:p>
    <w:p w14:paraId="419D0A6E">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方式：以月为周期，每月半天或 1 天。 </w:t>
      </w:r>
    </w:p>
    <w:p w14:paraId="53A4ED8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组织者：轮值。每次由一位员工负责组织，包括确定主题、设计内容和 </w:t>
      </w:r>
    </w:p>
    <w:p w14:paraId="61D71672">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议程、邀请和确认分享人（如有）、主持、以及必要的后勤工作。上一期的主持 </w:t>
      </w:r>
    </w:p>
    <w:p w14:paraId="73F60D82">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人负责会议内容的记录和整理（如有）。可在年初确定好每期进化会的时间和组 </w:t>
      </w:r>
    </w:p>
    <w:p w14:paraId="02FE35EF">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织者。 </w:t>
      </w:r>
    </w:p>
    <w:p w14:paraId="1C72B29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主题模块：</w:t>
      </w:r>
    </w:p>
    <w:p w14:paraId="6CE95D11">
      <w:pPr>
        <w:keepNext w:val="0"/>
        <w:keepLines w:val="0"/>
        <w:pageBreakBefore w:val="0"/>
        <w:widowControl w:val="0"/>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以下为可参考的主题和形式，组织者可在进化会的目的的基础上去创造。</w:t>
      </w:r>
    </w:p>
    <w:p w14:paraId="7D1FA9A2">
      <w:pPr>
        <w:keepNext w:val="0"/>
        <w:keepLines w:val="0"/>
        <w:pageBreakBefore w:val="0"/>
        <w:widowControl w:val="0"/>
        <w:kinsoku/>
        <w:overflowPunct/>
        <w:autoSpaceDE/>
        <w:autoSpaceDN/>
        <w:bidi w:val="0"/>
        <w:adjustRightInd/>
        <w:snapToGrid/>
        <w:spacing w:line="70" w:lineRule="exact"/>
        <w:textAlignment w:val="auto"/>
        <w:rPr>
          <w:color w:val="auto"/>
        </w:rPr>
      </w:pPr>
    </w:p>
    <w:tbl>
      <w:tblPr>
        <w:tblStyle w:val="6"/>
        <w:tblW w:w="9733" w:type="dxa"/>
        <w:tblInd w:w="-579" w:type="dxa"/>
        <w:tblBorders>
          <w:top w:val="single" w:color="F3541A" w:sz="6" w:space="0"/>
          <w:left w:val="single" w:color="F3541A" w:sz="6" w:space="0"/>
          <w:bottom w:val="single" w:color="F3541A" w:sz="6" w:space="0"/>
          <w:right w:val="single" w:color="F3541A" w:sz="6" w:space="0"/>
          <w:insideH w:val="single" w:color="F3541A" w:sz="6" w:space="0"/>
          <w:insideV w:val="single" w:color="F3541A" w:sz="6" w:space="0"/>
        </w:tblBorders>
        <w:tblLayout w:type="fixed"/>
        <w:tblCellMar>
          <w:top w:w="0" w:type="dxa"/>
          <w:left w:w="0" w:type="dxa"/>
          <w:bottom w:w="0" w:type="dxa"/>
          <w:right w:w="0" w:type="dxa"/>
        </w:tblCellMar>
      </w:tblPr>
      <w:tblGrid>
        <w:gridCol w:w="2030"/>
        <w:gridCol w:w="2348"/>
        <w:gridCol w:w="5355"/>
      </w:tblGrid>
      <w:tr w14:paraId="29301C69">
        <w:tblPrEx>
          <w:tblBorders>
            <w:top w:val="single" w:color="F3541A" w:sz="6" w:space="0"/>
            <w:left w:val="single" w:color="F3541A" w:sz="6" w:space="0"/>
            <w:bottom w:val="single" w:color="F3541A" w:sz="6" w:space="0"/>
            <w:right w:val="single" w:color="F3541A" w:sz="6" w:space="0"/>
            <w:insideH w:val="single" w:color="F3541A" w:sz="6" w:space="0"/>
            <w:insideV w:val="single" w:color="F3541A" w:sz="6" w:space="0"/>
          </w:tblBorders>
          <w:tblCellMar>
            <w:top w:w="0" w:type="dxa"/>
            <w:left w:w="0" w:type="dxa"/>
            <w:bottom w:w="0" w:type="dxa"/>
            <w:right w:w="0" w:type="dxa"/>
          </w:tblCellMar>
        </w:tblPrEx>
        <w:trPr>
          <w:trHeight w:val="373" w:hRule="atLeast"/>
        </w:trPr>
        <w:tc>
          <w:tcPr>
            <w:tcW w:w="2030" w:type="dxa"/>
            <w:shd w:val="clear" w:color="auto" w:fill="F9680D"/>
            <w:vAlign w:val="top"/>
          </w:tcPr>
          <w:p w14:paraId="0208D49D">
            <w:pPr>
              <w:pStyle w:val="7"/>
              <w:keepNext w:val="0"/>
              <w:keepLines w:val="0"/>
              <w:pageBreakBefore w:val="0"/>
              <w:widowControl w:val="0"/>
              <w:kinsoku/>
              <w:wordWrap/>
              <w:overflowPunct/>
              <w:topLinePunct w:val="0"/>
              <w:autoSpaceDE/>
              <w:autoSpaceDN/>
              <w:bidi w:val="0"/>
              <w:adjustRightInd/>
              <w:snapToGrid/>
              <w:spacing w:before="88" w:line="480" w:lineRule="exact"/>
              <w:ind w:left="109" w:right="102"/>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主题</w:t>
            </w:r>
          </w:p>
        </w:tc>
        <w:tc>
          <w:tcPr>
            <w:tcW w:w="2348" w:type="dxa"/>
            <w:shd w:val="clear" w:color="auto" w:fill="F9680D"/>
            <w:vAlign w:val="top"/>
          </w:tcPr>
          <w:p w14:paraId="59B163DE">
            <w:pPr>
              <w:pStyle w:val="7"/>
              <w:keepNext w:val="0"/>
              <w:keepLines w:val="0"/>
              <w:pageBreakBefore w:val="0"/>
              <w:widowControl w:val="0"/>
              <w:kinsoku/>
              <w:wordWrap/>
              <w:overflowPunct/>
              <w:topLinePunct w:val="0"/>
              <w:autoSpaceDE/>
              <w:autoSpaceDN/>
              <w:bidi w:val="0"/>
              <w:adjustRightInd/>
              <w:snapToGrid/>
              <w:spacing w:before="88" w:line="480" w:lineRule="exact"/>
              <w:ind w:left="109" w:right="102"/>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目的</w:t>
            </w:r>
          </w:p>
        </w:tc>
        <w:tc>
          <w:tcPr>
            <w:tcW w:w="5355" w:type="dxa"/>
            <w:shd w:val="clear" w:color="auto" w:fill="F9680D"/>
            <w:vAlign w:val="top"/>
          </w:tcPr>
          <w:p w14:paraId="6EB4EE1B">
            <w:pPr>
              <w:pStyle w:val="7"/>
              <w:keepNext w:val="0"/>
              <w:keepLines w:val="0"/>
              <w:pageBreakBefore w:val="0"/>
              <w:widowControl w:val="0"/>
              <w:kinsoku/>
              <w:wordWrap/>
              <w:overflowPunct/>
              <w:topLinePunct w:val="0"/>
              <w:autoSpaceDE/>
              <w:autoSpaceDN/>
              <w:bidi w:val="0"/>
              <w:adjustRightInd/>
              <w:snapToGrid/>
              <w:spacing w:before="88" w:line="480" w:lineRule="exact"/>
              <w:ind w:left="109" w:right="102"/>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关键内容/操作</w:t>
            </w:r>
          </w:p>
        </w:tc>
      </w:tr>
      <w:tr w14:paraId="32A2E516">
        <w:tblPrEx>
          <w:tblBorders>
            <w:top w:val="single" w:color="F3541A" w:sz="6" w:space="0"/>
            <w:left w:val="single" w:color="F3541A" w:sz="6" w:space="0"/>
            <w:bottom w:val="single" w:color="F3541A" w:sz="6" w:space="0"/>
            <w:right w:val="single" w:color="F3541A" w:sz="6" w:space="0"/>
            <w:insideH w:val="single" w:color="F3541A" w:sz="6" w:space="0"/>
            <w:insideV w:val="single" w:color="F3541A" w:sz="6" w:space="0"/>
          </w:tblBorders>
          <w:tblCellMar>
            <w:top w:w="0" w:type="dxa"/>
            <w:left w:w="0" w:type="dxa"/>
            <w:bottom w:w="0" w:type="dxa"/>
            <w:right w:w="0" w:type="dxa"/>
          </w:tblCellMar>
        </w:tblPrEx>
        <w:trPr>
          <w:trHeight w:val="762" w:hRule="atLeast"/>
        </w:trPr>
        <w:tc>
          <w:tcPr>
            <w:tcW w:w="2030" w:type="dxa"/>
            <w:vAlign w:val="top"/>
          </w:tcPr>
          <w:p w14:paraId="2DBF5DD5">
            <w:pPr>
              <w:pStyle w:val="7"/>
              <w:keepNext w:val="0"/>
              <w:keepLines w:val="0"/>
              <w:pageBreakBefore w:val="0"/>
              <w:widowControl w:val="0"/>
              <w:numPr>
                <w:ilvl w:val="0"/>
                <w:numId w:val="0"/>
              </w:numPr>
              <w:kinsoku/>
              <w:wordWrap/>
              <w:overflowPunct/>
              <w:topLinePunct w:val="0"/>
              <w:autoSpaceDE/>
              <w:autoSpaceDN/>
              <w:bidi w:val="0"/>
              <w:adjustRightInd/>
              <w:snapToGrid/>
              <w:spacing w:before="88" w:line="480" w:lineRule="exact"/>
              <w:ind w:right="102" w:rightChars="0"/>
              <w:textAlignment w:val="auto"/>
              <w:rPr>
                <w:rFonts w:hint="eastAsia" w:ascii="宋体" w:hAnsi="宋体" w:eastAsia="宋体" w:cs="宋体"/>
                <w:color w:val="auto"/>
                <w:kern w:val="0"/>
                <w:sz w:val="24"/>
                <w:szCs w:val="24"/>
                <w:lang w:val="en-US" w:eastAsia="en-US" w:bidi="ar"/>
              </w:rPr>
            </w:pPr>
            <w:r>
              <w:rPr>
                <w:rFonts w:hint="eastAsia" w:cs="宋体"/>
                <w:color w:val="auto"/>
                <w:kern w:val="0"/>
                <w:sz w:val="24"/>
                <w:szCs w:val="24"/>
                <w:lang w:val="en-US" w:eastAsia="zh-CN" w:bidi="ar"/>
              </w:rPr>
              <w:t>1.</w:t>
            </w:r>
            <w:r>
              <w:rPr>
                <w:rFonts w:hint="eastAsia" w:ascii="宋体" w:hAnsi="宋体" w:eastAsia="宋体" w:cs="宋体"/>
                <w:color w:val="auto"/>
                <w:kern w:val="0"/>
                <w:sz w:val="24"/>
                <w:szCs w:val="24"/>
                <w:lang w:val="en-US" w:eastAsia="en-US" w:bidi="ar"/>
              </w:rPr>
              <w:t>个人绽放</w:t>
            </w:r>
          </w:p>
        </w:tc>
        <w:tc>
          <w:tcPr>
            <w:tcW w:w="2348" w:type="dxa"/>
            <w:vAlign w:val="top"/>
          </w:tcPr>
          <w:p w14:paraId="4DA7EFE4">
            <w:pPr>
              <w:pStyle w:val="7"/>
              <w:keepNext w:val="0"/>
              <w:keepLines w:val="0"/>
              <w:pageBreakBefore w:val="0"/>
              <w:widowControl w:val="0"/>
              <w:kinsoku/>
              <w:wordWrap/>
              <w:overflowPunct/>
              <w:topLinePunct w:val="0"/>
              <w:autoSpaceDE/>
              <w:autoSpaceDN/>
              <w:bidi w:val="0"/>
              <w:adjustRightInd/>
              <w:snapToGrid/>
              <w:spacing w:before="88" w:line="480" w:lineRule="exact"/>
              <w:ind w:left="109" w:right="102"/>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促进个人释放与沉淀，建 立团队理解与连接</w:t>
            </w:r>
          </w:p>
        </w:tc>
        <w:tc>
          <w:tcPr>
            <w:tcW w:w="5355" w:type="dxa"/>
            <w:vAlign w:val="top"/>
          </w:tcPr>
          <w:p w14:paraId="135B8FCF">
            <w:pPr>
              <w:pStyle w:val="7"/>
              <w:keepNext w:val="0"/>
              <w:keepLines w:val="0"/>
              <w:pageBreakBefore w:val="0"/>
              <w:widowControl w:val="0"/>
              <w:kinsoku/>
              <w:wordWrap/>
              <w:overflowPunct/>
              <w:topLinePunct w:val="0"/>
              <w:autoSpaceDE/>
              <w:autoSpaceDN/>
              <w:bidi w:val="0"/>
              <w:adjustRightInd/>
              <w:snapToGrid/>
              <w:spacing w:before="88" w:line="480" w:lineRule="exact"/>
              <w:ind w:left="109" w:right="102"/>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每人分享当月个人最渴望分享的内容，可以是工 作成果、行业见闻、学习心得、生活体验、情绪 状态等，主题不限。</w:t>
            </w:r>
          </w:p>
        </w:tc>
      </w:tr>
      <w:tr w14:paraId="71F223C9">
        <w:tblPrEx>
          <w:tblBorders>
            <w:top w:val="single" w:color="F3541A" w:sz="6" w:space="0"/>
            <w:left w:val="single" w:color="F3541A" w:sz="6" w:space="0"/>
            <w:bottom w:val="single" w:color="F3541A" w:sz="6" w:space="0"/>
            <w:right w:val="single" w:color="F3541A" w:sz="6" w:space="0"/>
            <w:insideH w:val="single" w:color="F3541A" w:sz="6" w:space="0"/>
            <w:insideV w:val="single" w:color="F3541A" w:sz="6" w:space="0"/>
          </w:tblBorders>
        </w:tblPrEx>
        <w:trPr>
          <w:trHeight w:val="697" w:hRule="atLeast"/>
        </w:trPr>
        <w:tc>
          <w:tcPr>
            <w:tcW w:w="2030" w:type="dxa"/>
            <w:vAlign w:val="top"/>
          </w:tcPr>
          <w:p w14:paraId="7C497DEC">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2.好人好事</w:t>
            </w:r>
          </w:p>
        </w:tc>
        <w:tc>
          <w:tcPr>
            <w:tcW w:w="2348" w:type="dxa"/>
            <w:vAlign w:val="top"/>
          </w:tcPr>
          <w:p w14:paraId="5E23A9D2">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五项原则的文化共修</w:t>
            </w:r>
          </w:p>
        </w:tc>
        <w:tc>
          <w:tcPr>
            <w:tcW w:w="5355" w:type="dxa"/>
            <w:vAlign w:val="top"/>
          </w:tcPr>
          <w:p w14:paraId="68734D59">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围绕五项工作原则共同学习，包括反复阅读、分 享对工作的影响，举例日常工作中的案例及启 示。</w:t>
            </w:r>
          </w:p>
        </w:tc>
      </w:tr>
      <w:tr w14:paraId="69BD5C1B">
        <w:tblPrEx>
          <w:tblBorders>
            <w:top w:val="single" w:color="F3541A" w:sz="6" w:space="0"/>
            <w:left w:val="single" w:color="F3541A" w:sz="6" w:space="0"/>
            <w:bottom w:val="single" w:color="F3541A" w:sz="6" w:space="0"/>
            <w:right w:val="single" w:color="F3541A" w:sz="6" w:space="0"/>
            <w:insideH w:val="single" w:color="F3541A" w:sz="6" w:space="0"/>
            <w:insideV w:val="single" w:color="F3541A" w:sz="6" w:space="0"/>
          </w:tblBorders>
          <w:tblCellMar>
            <w:top w:w="0" w:type="dxa"/>
            <w:left w:w="0" w:type="dxa"/>
            <w:bottom w:w="0" w:type="dxa"/>
            <w:right w:w="0" w:type="dxa"/>
          </w:tblCellMar>
        </w:tblPrEx>
        <w:trPr>
          <w:trHeight w:val="1476" w:hRule="atLeast"/>
        </w:trPr>
        <w:tc>
          <w:tcPr>
            <w:tcW w:w="2030" w:type="dxa"/>
            <w:vAlign w:val="top"/>
          </w:tcPr>
          <w:p w14:paraId="3563248F">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3.理事长（秘书长） 专题分享</w:t>
            </w:r>
          </w:p>
        </w:tc>
        <w:tc>
          <w:tcPr>
            <w:tcW w:w="2348" w:type="dxa"/>
            <w:vAlign w:val="top"/>
          </w:tcPr>
          <w:p w14:paraId="0037FC73">
            <w:pPr>
              <w:keepNext w:val="0"/>
              <w:keepLines w:val="0"/>
              <w:pageBreakBefore w:val="0"/>
              <w:widowControl w:val="0"/>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lang w:val="en-US" w:eastAsia="en-US" w:bidi="ar"/>
              </w:rPr>
            </w:pPr>
          </w:p>
          <w:p w14:paraId="6E7BDC6B">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拓展宏观视野与格局</w:t>
            </w:r>
          </w:p>
          <w:p w14:paraId="4DFD3F72">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增强系统思考与策略性</w:t>
            </w:r>
          </w:p>
        </w:tc>
        <w:tc>
          <w:tcPr>
            <w:tcW w:w="5355" w:type="dxa"/>
            <w:vAlign w:val="top"/>
          </w:tcPr>
          <w:p w14:paraId="19775C27">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主题由理事长（秘书长） 自定或团队提出要求， 充分利用理事长（秘书长）资源，使团队可以在 前辈的视野经验基础上快速提升。内容可包括但 不限于：对社会及行业发展的宏观视野及未来趋 势的理解，对集团定位、风格与期望的理解。也 可由理事长（秘书长）邀请某议题领域的资深人士做类似主题的分享。</w:t>
            </w:r>
          </w:p>
        </w:tc>
      </w:tr>
      <w:tr w14:paraId="588DE95B">
        <w:tblPrEx>
          <w:tblBorders>
            <w:top w:val="single" w:color="F3541A" w:sz="6" w:space="0"/>
            <w:left w:val="single" w:color="F3541A" w:sz="6" w:space="0"/>
            <w:bottom w:val="single" w:color="F3541A" w:sz="6" w:space="0"/>
            <w:right w:val="single" w:color="F3541A" w:sz="6" w:space="0"/>
            <w:insideH w:val="single" w:color="F3541A" w:sz="6" w:space="0"/>
            <w:insideV w:val="single" w:color="F3541A" w:sz="6" w:space="0"/>
          </w:tblBorders>
          <w:tblCellMar>
            <w:top w:w="0" w:type="dxa"/>
            <w:left w:w="0" w:type="dxa"/>
            <w:bottom w:w="0" w:type="dxa"/>
            <w:right w:w="0" w:type="dxa"/>
          </w:tblCellMar>
        </w:tblPrEx>
        <w:trPr>
          <w:trHeight w:val="828" w:hRule="atLeast"/>
        </w:trPr>
        <w:tc>
          <w:tcPr>
            <w:tcW w:w="2030" w:type="dxa"/>
            <w:vAlign w:val="top"/>
          </w:tcPr>
          <w:p w14:paraId="1A292A88">
            <w:pPr>
              <w:keepNext w:val="0"/>
              <w:keepLines w:val="0"/>
              <w:pageBreakBefore w:val="0"/>
              <w:widowControl w:val="0"/>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lang w:val="en-US" w:eastAsia="en-US" w:bidi="ar"/>
              </w:rPr>
            </w:pPr>
          </w:p>
          <w:p w14:paraId="21AEE02D">
            <w:pPr>
              <w:keepNext w:val="0"/>
              <w:keepLines w:val="0"/>
              <w:pageBreakBefore w:val="0"/>
              <w:widowControl w:val="0"/>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lang w:val="en-US" w:eastAsia="en-US" w:bidi="ar"/>
              </w:rPr>
            </w:pPr>
          </w:p>
          <w:p w14:paraId="522E0F7B">
            <w:pPr>
              <w:keepNext w:val="0"/>
              <w:keepLines w:val="0"/>
              <w:pageBreakBefore w:val="0"/>
              <w:widowControl w:val="0"/>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lang w:val="en-US" w:eastAsia="en-US" w:bidi="ar"/>
              </w:rPr>
            </w:pPr>
          </w:p>
          <w:p w14:paraId="14F311EF">
            <w:pPr>
              <w:keepNext w:val="0"/>
              <w:keepLines w:val="0"/>
              <w:pageBreakBefore w:val="0"/>
              <w:widowControl w:val="0"/>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lang w:val="en-US" w:eastAsia="en-US" w:bidi="ar"/>
              </w:rPr>
            </w:pPr>
          </w:p>
          <w:p w14:paraId="0302F47B">
            <w:pPr>
              <w:keepNext w:val="0"/>
              <w:keepLines w:val="0"/>
              <w:pageBreakBefore w:val="0"/>
              <w:widowControl w:val="0"/>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lang w:val="en-US" w:eastAsia="en-US" w:bidi="ar"/>
              </w:rPr>
            </w:pPr>
          </w:p>
          <w:p w14:paraId="1BB2F0F7">
            <w:pPr>
              <w:keepNext w:val="0"/>
              <w:keepLines w:val="0"/>
              <w:pageBreakBefore w:val="0"/>
              <w:widowControl w:val="0"/>
              <w:suppressLineNumbers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4.主题交流</w:t>
            </w:r>
          </w:p>
        </w:tc>
        <w:tc>
          <w:tcPr>
            <w:tcW w:w="2348" w:type="dxa"/>
            <w:vAlign w:val="top"/>
          </w:tcPr>
          <w:p w14:paraId="7B71283B">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促使个体见闻和经验流 动起来。重点贡献于三项 能力：资源理解与整合、 团队学习、议题解读与分 析。</w:t>
            </w:r>
          </w:p>
        </w:tc>
        <w:tc>
          <w:tcPr>
            <w:tcW w:w="5355" w:type="dxa"/>
            <w:vAlign w:val="top"/>
          </w:tcPr>
          <w:p w14:paraId="7352F0C4">
            <w:pPr>
              <w:keepNext w:val="0"/>
              <w:keepLines w:val="0"/>
              <w:pageBreakBefore w:val="0"/>
              <w:widowControl w:val="0"/>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围绕主题做经验分享或研讨，包括：1.相关方的特点（思维习惯、语言风格、关注重 点等）及沟通合作中的经验/注意事项（集团、 下属企业、政府部门、公益组织等）；2.相近工作方法的分享，如合作伙伴的甄选、谈 判、意愿激发与影响、项目管理与监控等；3.专题经验分享；4.主题读书交流；5.出差分享、行业见闻等。</w:t>
            </w:r>
          </w:p>
        </w:tc>
      </w:tr>
      <w:tr w14:paraId="04E5000C">
        <w:tblPrEx>
          <w:tblBorders>
            <w:top w:val="single" w:color="F3541A" w:sz="6" w:space="0"/>
            <w:left w:val="single" w:color="F3541A" w:sz="6" w:space="0"/>
            <w:bottom w:val="single" w:color="F3541A" w:sz="6" w:space="0"/>
            <w:right w:val="single" w:color="F3541A" w:sz="6" w:space="0"/>
            <w:insideH w:val="single" w:color="F3541A" w:sz="6" w:space="0"/>
            <w:insideV w:val="single" w:color="F3541A" w:sz="6" w:space="0"/>
          </w:tblBorders>
          <w:tblCellMar>
            <w:top w:w="0" w:type="dxa"/>
            <w:left w:w="0" w:type="dxa"/>
            <w:bottom w:w="0" w:type="dxa"/>
            <w:right w:w="0" w:type="dxa"/>
          </w:tblCellMar>
        </w:tblPrEx>
        <w:trPr>
          <w:trHeight w:val="694" w:hRule="atLeast"/>
        </w:trPr>
        <w:tc>
          <w:tcPr>
            <w:tcW w:w="2030" w:type="dxa"/>
            <w:vAlign w:val="top"/>
          </w:tcPr>
          <w:p w14:paraId="32F55443">
            <w:pPr>
              <w:pStyle w:val="7"/>
              <w:keepNext w:val="0"/>
              <w:keepLines w:val="0"/>
              <w:pageBreakBefore w:val="0"/>
              <w:widowControl w:val="0"/>
              <w:kinsoku/>
              <w:wordWrap/>
              <w:overflowPunct/>
              <w:topLinePunct w:val="0"/>
              <w:autoSpaceDE/>
              <w:autoSpaceDN/>
              <w:bidi w:val="0"/>
              <w:adjustRightInd/>
              <w:snapToGrid/>
              <w:spacing w:before="88" w:line="480" w:lineRule="exact"/>
              <w:ind w:left="109" w:right="102"/>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5.集体培训 或实操练习</w:t>
            </w:r>
          </w:p>
        </w:tc>
        <w:tc>
          <w:tcPr>
            <w:tcW w:w="2348" w:type="dxa"/>
            <w:vAlign w:val="top"/>
          </w:tcPr>
          <w:p w14:paraId="1C5098EE">
            <w:pPr>
              <w:pStyle w:val="7"/>
              <w:keepNext w:val="0"/>
              <w:keepLines w:val="0"/>
              <w:pageBreakBefore w:val="0"/>
              <w:widowControl w:val="0"/>
              <w:kinsoku/>
              <w:wordWrap/>
              <w:overflowPunct/>
              <w:topLinePunct w:val="0"/>
              <w:autoSpaceDE/>
              <w:autoSpaceDN/>
              <w:bidi w:val="0"/>
              <w:adjustRightInd/>
              <w:snapToGrid/>
              <w:spacing w:before="88" w:line="480" w:lineRule="exact"/>
              <w:ind w:left="109" w:right="102"/>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提升某项具体的能力</w:t>
            </w:r>
          </w:p>
        </w:tc>
        <w:tc>
          <w:tcPr>
            <w:tcW w:w="5355" w:type="dxa"/>
            <w:vAlign w:val="top"/>
          </w:tcPr>
          <w:p w14:paraId="0255D636">
            <w:pPr>
              <w:pStyle w:val="7"/>
              <w:keepNext w:val="0"/>
              <w:keepLines w:val="0"/>
              <w:pageBreakBefore w:val="0"/>
              <w:widowControl w:val="0"/>
              <w:kinsoku/>
              <w:wordWrap/>
              <w:overflowPunct/>
              <w:topLinePunct w:val="0"/>
              <w:autoSpaceDE/>
              <w:autoSpaceDN/>
              <w:bidi w:val="0"/>
              <w:adjustRightInd/>
              <w:snapToGrid/>
              <w:spacing w:before="88" w:line="480" w:lineRule="exact"/>
              <w:ind w:left="109" w:right="102"/>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可参考“实用参考工具 的内容。</w:t>
            </w:r>
          </w:p>
        </w:tc>
      </w:tr>
      <w:tr w14:paraId="6A938A10">
        <w:tblPrEx>
          <w:tblBorders>
            <w:top w:val="single" w:color="F3541A" w:sz="6" w:space="0"/>
            <w:left w:val="single" w:color="F3541A" w:sz="6" w:space="0"/>
            <w:bottom w:val="single" w:color="F3541A" w:sz="6" w:space="0"/>
            <w:right w:val="single" w:color="F3541A" w:sz="6" w:space="0"/>
            <w:insideH w:val="single" w:color="F3541A" w:sz="6" w:space="0"/>
            <w:insideV w:val="single" w:color="F3541A" w:sz="6" w:space="0"/>
          </w:tblBorders>
          <w:tblCellMar>
            <w:top w:w="0" w:type="dxa"/>
            <w:left w:w="0" w:type="dxa"/>
            <w:bottom w:w="0" w:type="dxa"/>
            <w:right w:w="0" w:type="dxa"/>
          </w:tblCellMar>
        </w:tblPrEx>
        <w:trPr>
          <w:trHeight w:val="90" w:hRule="atLeast"/>
        </w:trPr>
        <w:tc>
          <w:tcPr>
            <w:tcW w:w="2030" w:type="dxa"/>
            <w:shd w:val="clear" w:color="auto" w:fill="auto"/>
            <w:vAlign w:val="top"/>
          </w:tcPr>
          <w:p w14:paraId="0868C7DB">
            <w:pPr>
              <w:pStyle w:val="7"/>
              <w:keepNext w:val="0"/>
              <w:keepLines w:val="0"/>
              <w:pageBreakBefore w:val="0"/>
              <w:widowControl w:val="0"/>
              <w:kinsoku/>
              <w:wordWrap/>
              <w:overflowPunct/>
              <w:topLinePunct w:val="0"/>
              <w:autoSpaceDE/>
              <w:autoSpaceDN/>
              <w:bidi w:val="0"/>
              <w:adjustRightInd/>
              <w:snapToGrid/>
              <w:spacing w:before="88" w:line="480" w:lineRule="exact"/>
              <w:ind w:left="109" w:right="102"/>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zh-CN" w:bidi="ar"/>
              </w:rPr>
              <w:t>6.共娱共乐</w:t>
            </w:r>
          </w:p>
        </w:tc>
        <w:tc>
          <w:tcPr>
            <w:tcW w:w="2348" w:type="dxa"/>
            <w:shd w:val="clear" w:color="auto" w:fill="auto"/>
            <w:vAlign w:val="top"/>
          </w:tcPr>
          <w:p w14:paraId="17DEFB93">
            <w:pPr>
              <w:pStyle w:val="7"/>
              <w:keepNext w:val="0"/>
              <w:keepLines w:val="0"/>
              <w:pageBreakBefore w:val="0"/>
              <w:widowControl w:val="0"/>
              <w:kinsoku/>
              <w:wordWrap/>
              <w:overflowPunct/>
              <w:topLinePunct w:val="0"/>
              <w:autoSpaceDE/>
              <w:autoSpaceDN/>
              <w:bidi w:val="0"/>
              <w:adjustRightInd/>
              <w:snapToGrid/>
              <w:spacing w:before="88" w:line="480" w:lineRule="exact"/>
              <w:ind w:left="109" w:right="102"/>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zh-CN" w:bidi="ar"/>
              </w:rPr>
              <w:t>建立团队连接</w:t>
            </w:r>
          </w:p>
        </w:tc>
        <w:tc>
          <w:tcPr>
            <w:tcW w:w="5355" w:type="dxa"/>
            <w:shd w:val="clear" w:color="auto" w:fill="auto"/>
            <w:vAlign w:val="top"/>
          </w:tcPr>
          <w:p w14:paraId="3F3B667E">
            <w:pPr>
              <w:pStyle w:val="7"/>
              <w:keepNext w:val="0"/>
              <w:keepLines w:val="0"/>
              <w:pageBreakBefore w:val="0"/>
              <w:widowControl w:val="0"/>
              <w:kinsoku/>
              <w:wordWrap/>
              <w:overflowPunct/>
              <w:topLinePunct w:val="0"/>
              <w:autoSpaceDE/>
              <w:autoSpaceDN/>
              <w:bidi w:val="0"/>
              <w:adjustRightInd/>
              <w:snapToGrid/>
              <w:spacing w:before="88" w:line="480" w:lineRule="exact"/>
              <w:ind w:left="109" w:right="102"/>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zh-CN" w:bidi="ar"/>
              </w:rPr>
              <w:t>聚餐、娱乐等。</w:t>
            </w:r>
          </w:p>
        </w:tc>
      </w:tr>
    </w:tbl>
    <w:p w14:paraId="147F806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组织者的操作指引： </w:t>
      </w:r>
    </w:p>
    <w:p w14:paraId="4C0DEE54">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 初步构想和拟定进化会的主题和议程。在拟定中要结合主题模块、个人兴趣和擅长。 </w:t>
      </w:r>
    </w:p>
    <w:p w14:paraId="6274249C">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 与进化会的关键人员沟通初拟的方案，寻求反馈和承诺。关键人员是指要在进化会中做分享或担任特殊角色的人，可以是团队成员，也可以是外部人士。 </w:t>
      </w:r>
    </w:p>
    <w:p w14:paraId="2653878F">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 确定进化会的主题和议程。 </w:t>
      </w:r>
    </w:p>
    <w:p w14:paraId="5F7D01A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 撰写进化会的参会邀请。最迟在召开前的 3 个星期向全员发出。如有需要全员准备的事项，在邀请中一并说明。 </w:t>
      </w:r>
    </w:p>
    <w:p w14:paraId="4F8B6FD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 在召开前一天提醒全员参会。 </w:t>
      </w:r>
    </w:p>
    <w:p w14:paraId="33B3796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6. 与上一期的组织者即本期的记录者沟通希望记录的要点。 </w:t>
      </w:r>
    </w:p>
    <w:p w14:paraId="222289C2">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7. 当天主持进化会。 </w:t>
      </w:r>
    </w:p>
    <w:p w14:paraId="16E3D3E7">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8. 征集参与者对进化会的反馈。可以在进化会结束的最后环节当即征集，也可由记录者征集，并总结至纪要中。 </w:t>
      </w:r>
    </w:p>
    <w:p w14:paraId="1295A073">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9. 与记录者确认记录内容，提醒记录者将记录发给全员，抄送行政部门存档。 </w:t>
      </w:r>
    </w:p>
    <w:p w14:paraId="521B1326">
      <w:pPr>
        <w:keepNext w:val="0"/>
        <w:keepLines w:val="0"/>
        <w:pageBreakBefore w:val="0"/>
        <w:widowControl w:val="0"/>
        <w:suppressLineNumbers w:val="0"/>
        <w:kinsoku/>
        <w:overflowPunct/>
        <w:autoSpaceDE/>
        <w:autoSpaceDN/>
        <w:bidi w:val="0"/>
        <w:adjustRightInd/>
        <w:snapToGrid/>
        <w:spacing w:line="360" w:lineRule="auto"/>
        <w:jc w:val="left"/>
        <w:textAlignment w:val="auto"/>
        <w:rPr>
          <w:b/>
          <w:bCs/>
          <w:color w:val="auto"/>
          <w:sz w:val="24"/>
          <w:szCs w:val="24"/>
        </w:rPr>
      </w:pPr>
      <w:r>
        <w:rPr>
          <w:rFonts w:hint="default" w:ascii="Wingdings" w:hAnsi="Wingdings" w:eastAsia="宋体" w:cs="Wingdings"/>
          <w:b/>
          <w:bC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注意事项 </w:t>
      </w:r>
    </w:p>
    <w:p w14:paraId="16899E9A">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1. 共同营造开放学习的氛围，专注当下，打开自己，充分吸收和给予。 </w:t>
      </w:r>
    </w:p>
    <w:p w14:paraId="15991BB6">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2. 首先以是否能促进机构及个人绩效及能力为第一目的和衡量，不以是否 </w:t>
      </w:r>
    </w:p>
    <w:p w14:paraId="1B17A66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有趣、愉悦、和谐为第一目的和衡量。</w:t>
      </w:r>
    </w:p>
    <w:p w14:paraId="25FCA79C">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3. 主题聚焦，但不过于结果导向，不做具体工作的讨论。 </w:t>
      </w:r>
    </w:p>
    <w:p w14:paraId="7E04BAC6">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4. 每位组织者发挥自己的优势和擅长，进化会鼓励形式多样，不过于追求标准化。 </w:t>
      </w:r>
    </w:p>
    <w:p w14:paraId="091BDCF0">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5. 组织者是最终的决策人，鼓励参与者积极主动的提出建议，组织者可以选择接受和不接受。 </w:t>
      </w:r>
    </w:p>
    <w:p w14:paraId="5F4E45A3">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6. 每个人都会成为组织者和参与者，期待他人如何对待自己，就去如何对待他人。 </w:t>
      </w:r>
    </w:p>
    <w:p w14:paraId="7240093A">
      <w:pPr>
        <w:keepNext w:val="0"/>
        <w:keepLines w:val="0"/>
        <w:pageBreakBefore w:val="0"/>
        <w:widowControl w:val="0"/>
        <w:numPr>
          <w:ilvl w:val="0"/>
          <w:numId w:val="6"/>
        </w:numPr>
        <w:suppressLineNumbers w:val="0"/>
        <w:kinsoku/>
        <w:overflowPunct/>
        <w:autoSpaceDE/>
        <w:autoSpaceDN/>
        <w:bidi w:val="0"/>
        <w:adjustRightInd/>
        <w:snapToGrid/>
        <w:spacing w:line="360" w:lineRule="auto"/>
        <w:ind w:left="420" w:leftChars="0" w:hanging="420" w:firstLineChars="0"/>
        <w:jc w:val="left"/>
        <w:textAlignment w:val="auto"/>
        <w:rPr>
          <w:rFonts w:hint="default" w:ascii="Wingdings" w:hAnsi="Wingdings" w:eastAsia="宋体" w:cs="Wingdings"/>
          <w:b/>
          <w:bCs/>
          <w:color w:val="auto"/>
          <w:kern w:val="0"/>
          <w:sz w:val="24"/>
          <w:szCs w:val="24"/>
          <w:lang w:val="en-US" w:eastAsia="zh-CN" w:bidi="ar"/>
        </w:rPr>
      </w:pPr>
      <w:r>
        <w:rPr>
          <w:rFonts w:hint="default" w:ascii="Wingdings" w:hAnsi="Wingdings" w:eastAsia="宋体" w:cs="Wingdings"/>
          <w:b/>
          <w:bCs/>
          <w:color w:val="auto"/>
          <w:kern w:val="0"/>
          <w:sz w:val="24"/>
          <w:szCs w:val="24"/>
          <w:lang w:val="en-US" w:eastAsia="zh-CN" w:bidi="ar"/>
        </w:rPr>
        <w:t>记录模版：</w:t>
      </w:r>
    </w:p>
    <w:p w14:paraId="021D420C">
      <w:pPr>
        <w:keepNext w:val="0"/>
        <w:keepLines w:val="0"/>
        <w:pageBreakBefore w:val="0"/>
        <w:widowControl w:val="0"/>
        <w:kinsoku/>
        <w:overflowPunct/>
        <w:autoSpaceDE/>
        <w:autoSpaceDN/>
        <w:bidi w:val="0"/>
        <w:adjustRightInd/>
        <w:snapToGrid/>
        <w:spacing w:line="78" w:lineRule="exact"/>
        <w:textAlignment w:val="auto"/>
        <w:rPr>
          <w:color w:val="auto"/>
        </w:rPr>
      </w:pPr>
    </w:p>
    <w:tbl>
      <w:tblPr>
        <w:tblStyle w:val="6"/>
        <w:tblW w:w="9248" w:type="dxa"/>
        <w:tblInd w:w="2" w:type="dxa"/>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Layout w:type="fixed"/>
        <w:tblCellMar>
          <w:top w:w="0" w:type="dxa"/>
          <w:left w:w="0" w:type="dxa"/>
          <w:bottom w:w="0" w:type="dxa"/>
          <w:right w:w="0" w:type="dxa"/>
        </w:tblCellMar>
      </w:tblPr>
      <w:tblGrid>
        <w:gridCol w:w="1388"/>
        <w:gridCol w:w="977"/>
        <w:gridCol w:w="480"/>
        <w:gridCol w:w="1421"/>
        <w:gridCol w:w="1420"/>
        <w:gridCol w:w="1529"/>
        <w:gridCol w:w="2033"/>
      </w:tblGrid>
      <w:tr w14:paraId="561440F5">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6" w:hRule="atLeast"/>
        </w:trPr>
        <w:tc>
          <w:tcPr>
            <w:tcW w:w="9248" w:type="dxa"/>
            <w:gridSpan w:val="7"/>
            <w:vAlign w:val="top"/>
          </w:tcPr>
          <w:p w14:paraId="703AA308">
            <w:pPr>
              <w:pStyle w:val="7"/>
              <w:keepNext w:val="0"/>
              <w:keepLines w:val="0"/>
              <w:pageBreakBefore w:val="0"/>
              <w:widowControl w:val="0"/>
              <w:kinsoku/>
              <w:overflowPunct/>
              <w:autoSpaceDE/>
              <w:autoSpaceDN/>
              <w:bidi w:val="0"/>
              <w:adjustRightInd/>
              <w:snapToGrid/>
              <w:spacing w:before="214" w:line="227"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月度集体进化会记录模版</w:t>
            </w:r>
          </w:p>
        </w:tc>
      </w:tr>
      <w:tr w14:paraId="5605170B">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1" w:hRule="atLeast"/>
        </w:trPr>
        <w:tc>
          <w:tcPr>
            <w:tcW w:w="1388" w:type="dxa"/>
            <w:vAlign w:val="top"/>
          </w:tcPr>
          <w:p w14:paraId="71990217">
            <w:pPr>
              <w:pStyle w:val="7"/>
              <w:keepNext w:val="0"/>
              <w:keepLines w:val="0"/>
              <w:pageBreakBefore w:val="0"/>
              <w:widowControl w:val="0"/>
              <w:kinsoku/>
              <w:overflowPunct/>
              <w:autoSpaceDE/>
              <w:autoSpaceDN/>
              <w:bidi w:val="0"/>
              <w:adjustRightInd/>
              <w:snapToGrid/>
              <w:spacing w:before="208" w:line="230"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组织者</w:t>
            </w:r>
          </w:p>
        </w:tc>
        <w:tc>
          <w:tcPr>
            <w:tcW w:w="1457" w:type="dxa"/>
            <w:gridSpan w:val="2"/>
            <w:vAlign w:val="top"/>
          </w:tcPr>
          <w:p w14:paraId="0699DDAF">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421" w:type="dxa"/>
            <w:vAlign w:val="top"/>
          </w:tcPr>
          <w:p w14:paraId="1FE80010">
            <w:pPr>
              <w:pStyle w:val="7"/>
              <w:keepNext w:val="0"/>
              <w:keepLines w:val="0"/>
              <w:pageBreakBefore w:val="0"/>
              <w:widowControl w:val="0"/>
              <w:kinsoku/>
              <w:overflowPunct/>
              <w:autoSpaceDE/>
              <w:autoSpaceDN/>
              <w:bidi w:val="0"/>
              <w:adjustRightInd/>
              <w:snapToGrid/>
              <w:spacing w:before="208" w:line="230"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记录者</w:t>
            </w:r>
          </w:p>
        </w:tc>
        <w:tc>
          <w:tcPr>
            <w:tcW w:w="1420" w:type="dxa"/>
            <w:vAlign w:val="top"/>
          </w:tcPr>
          <w:p w14:paraId="3ABFC62E">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529" w:type="dxa"/>
            <w:vAlign w:val="top"/>
          </w:tcPr>
          <w:p w14:paraId="549A9F37">
            <w:pPr>
              <w:pStyle w:val="7"/>
              <w:keepNext w:val="0"/>
              <w:keepLines w:val="0"/>
              <w:pageBreakBefore w:val="0"/>
              <w:widowControl w:val="0"/>
              <w:kinsoku/>
              <w:overflowPunct/>
              <w:autoSpaceDE/>
              <w:autoSpaceDN/>
              <w:bidi w:val="0"/>
              <w:adjustRightInd/>
              <w:snapToGrid/>
              <w:spacing w:before="208" w:line="230"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召开时间</w:t>
            </w:r>
          </w:p>
        </w:tc>
        <w:tc>
          <w:tcPr>
            <w:tcW w:w="2033" w:type="dxa"/>
            <w:vAlign w:val="top"/>
          </w:tcPr>
          <w:p w14:paraId="1F0E0518">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21597824">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1" w:hRule="atLeast"/>
        </w:trPr>
        <w:tc>
          <w:tcPr>
            <w:tcW w:w="1388" w:type="dxa"/>
            <w:vAlign w:val="top"/>
          </w:tcPr>
          <w:p w14:paraId="7103FCBD">
            <w:pPr>
              <w:pStyle w:val="7"/>
              <w:keepNext w:val="0"/>
              <w:keepLines w:val="0"/>
              <w:pageBreakBefore w:val="0"/>
              <w:widowControl w:val="0"/>
              <w:kinsoku/>
              <w:overflowPunct/>
              <w:autoSpaceDE/>
              <w:autoSpaceDN/>
              <w:bidi w:val="0"/>
              <w:adjustRightInd/>
              <w:snapToGrid/>
              <w:spacing w:before="210" w:line="230"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参与者</w:t>
            </w:r>
          </w:p>
        </w:tc>
        <w:tc>
          <w:tcPr>
            <w:tcW w:w="4298" w:type="dxa"/>
            <w:gridSpan w:val="4"/>
            <w:vAlign w:val="top"/>
          </w:tcPr>
          <w:p w14:paraId="1934F250">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529" w:type="dxa"/>
            <w:vAlign w:val="top"/>
          </w:tcPr>
          <w:p w14:paraId="449BC3CA">
            <w:pPr>
              <w:pStyle w:val="7"/>
              <w:keepNext w:val="0"/>
              <w:keepLines w:val="0"/>
              <w:pageBreakBefore w:val="0"/>
              <w:widowControl w:val="0"/>
              <w:kinsoku/>
              <w:overflowPunct/>
              <w:autoSpaceDE/>
              <w:autoSpaceDN/>
              <w:bidi w:val="0"/>
              <w:adjustRightInd/>
              <w:snapToGrid/>
              <w:spacing w:before="211"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记录完成时间</w:t>
            </w:r>
          </w:p>
        </w:tc>
        <w:tc>
          <w:tcPr>
            <w:tcW w:w="2033" w:type="dxa"/>
            <w:vAlign w:val="top"/>
          </w:tcPr>
          <w:p w14:paraId="24B2F0B0">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1FF6F6EB">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2" w:hRule="atLeast"/>
        </w:trPr>
        <w:tc>
          <w:tcPr>
            <w:tcW w:w="2365" w:type="dxa"/>
            <w:gridSpan w:val="2"/>
            <w:vAlign w:val="top"/>
          </w:tcPr>
          <w:p w14:paraId="20A98626">
            <w:pPr>
              <w:pStyle w:val="7"/>
              <w:keepNext w:val="0"/>
              <w:keepLines w:val="0"/>
              <w:pageBreakBefore w:val="0"/>
              <w:widowControl w:val="0"/>
              <w:kinsoku/>
              <w:overflowPunct/>
              <w:autoSpaceDE/>
              <w:autoSpaceDN/>
              <w:bidi w:val="0"/>
              <w:adjustRightInd/>
              <w:snapToGrid/>
              <w:spacing w:before="211" w:line="229"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主题与议程</w:t>
            </w:r>
          </w:p>
        </w:tc>
        <w:tc>
          <w:tcPr>
            <w:tcW w:w="6883" w:type="dxa"/>
            <w:gridSpan w:val="5"/>
            <w:vAlign w:val="top"/>
          </w:tcPr>
          <w:p w14:paraId="60502E8B">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287FF361">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1" w:hRule="atLeast"/>
        </w:trPr>
        <w:tc>
          <w:tcPr>
            <w:tcW w:w="2365" w:type="dxa"/>
            <w:gridSpan w:val="2"/>
            <w:vAlign w:val="top"/>
          </w:tcPr>
          <w:p w14:paraId="07C0E826">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宏观视野与趋势展望</w:t>
            </w:r>
          </w:p>
        </w:tc>
        <w:tc>
          <w:tcPr>
            <w:tcW w:w="6883" w:type="dxa"/>
            <w:gridSpan w:val="5"/>
            <w:vAlign w:val="top"/>
          </w:tcPr>
          <w:p w14:paraId="2DF29C85">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0AFA2803">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2" w:hRule="atLeast"/>
        </w:trPr>
        <w:tc>
          <w:tcPr>
            <w:tcW w:w="2365" w:type="dxa"/>
            <w:gridSpan w:val="2"/>
            <w:vAlign w:val="top"/>
          </w:tcPr>
          <w:p w14:paraId="0C32CDDE">
            <w:pPr>
              <w:pStyle w:val="7"/>
              <w:keepNext w:val="0"/>
              <w:keepLines w:val="0"/>
              <w:pageBreakBefore w:val="0"/>
              <w:widowControl w:val="0"/>
              <w:kinsoku/>
              <w:overflowPunct/>
              <w:autoSpaceDE/>
              <w:autoSpaceDN/>
              <w:bidi w:val="0"/>
              <w:adjustRightInd/>
              <w:snapToGrid/>
              <w:spacing w:before="212" w:line="229"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利益相关方的理解</w:t>
            </w:r>
          </w:p>
        </w:tc>
        <w:tc>
          <w:tcPr>
            <w:tcW w:w="6883" w:type="dxa"/>
            <w:gridSpan w:val="5"/>
            <w:vAlign w:val="top"/>
          </w:tcPr>
          <w:p w14:paraId="10A79A70">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4A7DBBEA">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2" w:hRule="atLeast"/>
        </w:trPr>
        <w:tc>
          <w:tcPr>
            <w:tcW w:w="2365" w:type="dxa"/>
            <w:gridSpan w:val="2"/>
            <w:vAlign w:val="top"/>
          </w:tcPr>
          <w:p w14:paraId="5BAC3049">
            <w:pPr>
              <w:pStyle w:val="7"/>
              <w:keepNext w:val="0"/>
              <w:keepLines w:val="0"/>
              <w:pageBreakBefore w:val="0"/>
              <w:widowControl w:val="0"/>
              <w:kinsoku/>
              <w:overflowPunct/>
              <w:autoSpaceDE/>
              <w:autoSpaceDN/>
              <w:bidi w:val="0"/>
              <w:adjustRightInd/>
              <w:snapToGrid/>
              <w:spacing w:before="214"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原则践行与典型案例</w:t>
            </w:r>
          </w:p>
        </w:tc>
        <w:tc>
          <w:tcPr>
            <w:tcW w:w="6883" w:type="dxa"/>
            <w:gridSpan w:val="5"/>
            <w:vAlign w:val="top"/>
          </w:tcPr>
          <w:p w14:paraId="3DE080EB">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709ABCDE">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2" w:hRule="atLeast"/>
        </w:trPr>
        <w:tc>
          <w:tcPr>
            <w:tcW w:w="2365" w:type="dxa"/>
            <w:gridSpan w:val="2"/>
            <w:vAlign w:val="top"/>
          </w:tcPr>
          <w:p w14:paraId="3EE24337">
            <w:pPr>
              <w:pStyle w:val="7"/>
              <w:keepNext w:val="0"/>
              <w:keepLines w:val="0"/>
              <w:pageBreakBefore w:val="0"/>
              <w:widowControl w:val="0"/>
              <w:kinsoku/>
              <w:overflowPunct/>
              <w:autoSpaceDE/>
              <w:autoSpaceDN/>
              <w:bidi w:val="0"/>
              <w:adjustRightInd/>
              <w:snapToGrid/>
              <w:spacing w:before="212" w:line="229"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议题/专题视野及经验</w:t>
            </w:r>
          </w:p>
        </w:tc>
        <w:tc>
          <w:tcPr>
            <w:tcW w:w="6883" w:type="dxa"/>
            <w:gridSpan w:val="5"/>
            <w:vAlign w:val="top"/>
          </w:tcPr>
          <w:p w14:paraId="0ECE7740">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0B0224A2">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1" w:hRule="atLeast"/>
        </w:trPr>
        <w:tc>
          <w:tcPr>
            <w:tcW w:w="2365" w:type="dxa"/>
            <w:gridSpan w:val="2"/>
            <w:vAlign w:val="top"/>
          </w:tcPr>
          <w:p w14:paraId="1177BBC4">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团队闪光点</w:t>
            </w:r>
          </w:p>
        </w:tc>
        <w:tc>
          <w:tcPr>
            <w:tcW w:w="6883" w:type="dxa"/>
            <w:gridSpan w:val="5"/>
            <w:vAlign w:val="top"/>
          </w:tcPr>
          <w:p w14:paraId="318AEC5D">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5B0B5777">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2" w:hRule="atLeast"/>
        </w:trPr>
        <w:tc>
          <w:tcPr>
            <w:tcW w:w="2365" w:type="dxa"/>
            <w:gridSpan w:val="2"/>
            <w:vAlign w:val="top"/>
          </w:tcPr>
          <w:p w14:paraId="561342F5">
            <w:pPr>
              <w:pStyle w:val="7"/>
              <w:keepNext w:val="0"/>
              <w:keepLines w:val="0"/>
              <w:pageBreakBefore w:val="0"/>
              <w:widowControl w:val="0"/>
              <w:kinsoku/>
              <w:overflowPunct/>
              <w:autoSpaceDE/>
              <w:autoSpaceDN/>
              <w:bidi w:val="0"/>
              <w:adjustRightInd/>
              <w:snapToGrid/>
              <w:spacing w:before="214" w:line="227"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组织进化会的经验</w:t>
            </w:r>
          </w:p>
        </w:tc>
        <w:tc>
          <w:tcPr>
            <w:tcW w:w="6883" w:type="dxa"/>
            <w:gridSpan w:val="5"/>
            <w:vAlign w:val="top"/>
          </w:tcPr>
          <w:p w14:paraId="695EE03F">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4A5B7EF5">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904" w:hRule="atLeast"/>
        </w:trPr>
        <w:tc>
          <w:tcPr>
            <w:tcW w:w="9248" w:type="dxa"/>
            <w:gridSpan w:val="7"/>
            <w:vAlign w:val="top"/>
          </w:tcPr>
          <w:p w14:paraId="56E9E4B8">
            <w:pPr>
              <w:pStyle w:val="7"/>
              <w:keepNext w:val="0"/>
              <w:keepLines w:val="0"/>
              <w:pageBreakBefore w:val="0"/>
              <w:widowControl w:val="0"/>
              <w:kinsoku/>
              <w:wordWrap/>
              <w:overflowPunct/>
              <w:topLinePunct w:val="0"/>
              <w:autoSpaceDE/>
              <w:autoSpaceDN/>
              <w:bidi w:val="0"/>
              <w:adjustRightInd/>
              <w:snapToGrid/>
              <w:spacing w:before="218" w:line="240" w:lineRule="auto"/>
              <w:ind w:left="113" w:right="108" w:firstLine="0"/>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记录说明：</w:t>
            </w:r>
          </w:p>
          <w:p w14:paraId="5281EF37">
            <w:pPr>
              <w:pStyle w:val="7"/>
              <w:keepNext w:val="0"/>
              <w:keepLines w:val="0"/>
              <w:pageBreakBefore w:val="0"/>
              <w:widowControl w:val="0"/>
              <w:numPr>
                <w:ilvl w:val="0"/>
                <w:numId w:val="7"/>
              </w:numPr>
              <w:kinsoku/>
              <w:wordWrap/>
              <w:overflowPunct/>
              <w:topLinePunct w:val="0"/>
              <w:autoSpaceDE/>
              <w:autoSpaceDN/>
              <w:bidi w:val="0"/>
              <w:adjustRightInd/>
              <w:snapToGrid/>
              <w:spacing w:before="218" w:line="240" w:lineRule="auto"/>
              <w:ind w:left="113" w:right="108" w:firstLine="0"/>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根据进化会现场发生的内容记录到相应模块，没有的内容可以不填。</w:t>
            </w:r>
          </w:p>
          <w:p w14:paraId="43D67D2C">
            <w:pPr>
              <w:pStyle w:val="7"/>
              <w:keepNext w:val="0"/>
              <w:keepLines w:val="0"/>
              <w:pageBreakBefore w:val="0"/>
              <w:widowControl w:val="0"/>
              <w:numPr>
                <w:ilvl w:val="0"/>
                <w:numId w:val="7"/>
              </w:numPr>
              <w:kinsoku/>
              <w:wordWrap/>
              <w:overflowPunct/>
              <w:topLinePunct w:val="0"/>
              <w:autoSpaceDE/>
              <w:autoSpaceDN/>
              <w:bidi w:val="0"/>
              <w:adjustRightInd/>
              <w:snapToGrid/>
              <w:spacing w:before="218" w:line="240" w:lineRule="auto"/>
              <w:ind w:left="113" w:right="108" w:firstLine="0"/>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每季度或半 年可对进化会的产出做整理，有关内容可更新至员工手册或沉淀为某专项课程。</w:t>
            </w:r>
          </w:p>
        </w:tc>
      </w:tr>
    </w:tbl>
    <w:p w14:paraId="58AB17EB">
      <w:pPr>
        <w:keepNext w:val="0"/>
        <w:keepLines w:val="0"/>
        <w:pageBreakBefore w:val="0"/>
        <w:widowControl w:val="0"/>
        <w:numPr>
          <w:ilvl w:val="0"/>
          <w:numId w:val="0"/>
        </w:numPr>
        <w:suppressLineNumbers w:val="0"/>
        <w:kinsoku/>
        <w:overflowPunct/>
        <w:autoSpaceDE/>
        <w:autoSpaceDN/>
        <w:bidi w:val="0"/>
        <w:adjustRightInd/>
        <w:snapToGrid/>
        <w:spacing w:line="360" w:lineRule="auto"/>
        <w:ind w:leftChars="0"/>
        <w:jc w:val="left"/>
        <w:textAlignment w:val="auto"/>
        <w:rPr>
          <w:rFonts w:hint="eastAsia" w:ascii="Wingdings" w:hAnsi="Wingdings" w:eastAsia="宋体" w:cs="Wingdings"/>
          <w:b/>
          <w:bCs/>
          <w:color w:val="auto"/>
          <w:kern w:val="0"/>
          <w:sz w:val="24"/>
          <w:szCs w:val="24"/>
          <w:lang w:val="en-US" w:eastAsia="zh-CN" w:bidi="ar"/>
        </w:rPr>
      </w:pPr>
    </w:p>
    <w:p w14:paraId="134AB0BB">
      <w:pPr>
        <w:keepNext w:val="0"/>
        <w:keepLines w:val="0"/>
        <w:pageBreakBefore w:val="0"/>
        <w:widowControl w:val="0"/>
        <w:numPr>
          <w:ilvl w:val="0"/>
          <w:numId w:val="8"/>
        </w:numPr>
        <w:suppressLineNumbers w:val="0"/>
        <w:kinsoku/>
        <w:overflowPunct/>
        <w:autoSpaceDE/>
        <w:autoSpaceDN/>
        <w:bidi w:val="0"/>
        <w:adjustRightInd/>
        <w:snapToGrid/>
        <w:spacing w:line="360" w:lineRule="auto"/>
        <w:ind w:left="420" w:leftChars="0" w:hanging="420" w:firstLineChars="0"/>
        <w:jc w:val="left"/>
        <w:textAlignment w:val="auto"/>
        <w:rPr>
          <w:rFonts w:hint="eastAsia" w:ascii="Wingdings" w:hAnsi="Wingdings" w:eastAsia="宋体" w:cs="Wingdings"/>
          <w:b/>
          <w:bCs/>
          <w:color w:val="auto"/>
          <w:kern w:val="0"/>
          <w:sz w:val="24"/>
          <w:szCs w:val="24"/>
          <w:lang w:val="en-US" w:eastAsia="zh-CN" w:bidi="ar"/>
        </w:rPr>
      </w:pPr>
      <w:r>
        <w:rPr>
          <w:rFonts w:hint="eastAsia" w:ascii="Wingdings" w:hAnsi="Wingdings" w:eastAsia="宋体" w:cs="Wingdings"/>
          <w:b/>
          <w:bCs/>
          <w:color w:val="auto"/>
          <w:kern w:val="0"/>
          <w:sz w:val="24"/>
          <w:szCs w:val="24"/>
          <w:lang w:val="en-US" w:eastAsia="zh-CN" w:bidi="ar"/>
        </w:rPr>
        <w:t xml:space="preserve">个人工作及发展计划制度 </w:t>
      </w:r>
    </w:p>
    <w:p w14:paraId="0FAAF1B6">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目的： “做中学”加上“师傅带”是最高效的学习方式之一。“个人工作发展计划”制度，帮助基金会建立人才发展方式：提高上级发展下级、员工自我发展的能力；促进上下级明确工作优先级，加强工作计划与能力发展的连接，也为绩效管理提供基础。 </w:t>
      </w:r>
    </w:p>
    <w:p w14:paraId="68CB143B">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ascii="宋体" w:hAnsi="宋体" w:eastAsia="宋体" w:cs="宋体"/>
          <w:color w:val="auto"/>
          <w:spacing w:val="-4"/>
          <w:sz w:val="16"/>
          <w:szCs w:val="16"/>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流程：分为计划、实施、总结评价三个阶段，循环进行。可参照以下流程图，根据模版，填写并实施。根据实际需要回顾；必要的更新、修订；上级给予相应辅导。 </w:t>
      </w:r>
    </w:p>
    <w:p w14:paraId="7C8D3A20">
      <w:pPr>
        <w:keepNext w:val="0"/>
        <w:keepLines w:val="0"/>
        <w:pageBreakBefore w:val="0"/>
        <w:widowControl w:val="0"/>
        <w:numPr>
          <w:ilvl w:val="0"/>
          <w:numId w:val="8"/>
        </w:numPr>
        <w:suppressLineNumbers w:val="0"/>
        <w:kinsoku/>
        <w:overflowPunct/>
        <w:autoSpaceDE/>
        <w:autoSpaceDN/>
        <w:bidi w:val="0"/>
        <w:adjustRightInd/>
        <w:snapToGrid/>
        <w:spacing w:line="360" w:lineRule="auto"/>
        <w:ind w:left="420" w:leftChars="0" w:hanging="420" w:firstLineChars="0"/>
        <w:jc w:val="left"/>
        <w:textAlignment w:val="auto"/>
        <w:rPr>
          <w:rFonts w:hint="eastAsia" w:ascii="Wingdings" w:hAnsi="Wingdings" w:eastAsia="宋体" w:cs="Wingdings"/>
          <w:b/>
          <w:bCs/>
          <w:color w:val="auto"/>
          <w:kern w:val="0"/>
          <w:sz w:val="24"/>
          <w:szCs w:val="24"/>
          <w:lang w:val="en-US" w:eastAsia="zh-CN" w:bidi="ar"/>
        </w:rPr>
      </w:pPr>
      <w:r>
        <w:rPr>
          <w:rFonts w:hint="eastAsia" w:ascii="Wingdings" w:hAnsi="Wingdings" w:eastAsia="宋体" w:cs="Wingdings"/>
          <w:b/>
          <w:bCs/>
          <w:color w:val="auto"/>
          <w:kern w:val="0"/>
          <w:sz w:val="24"/>
          <w:szCs w:val="24"/>
          <w:lang w:val="en-US" w:eastAsia="zh-CN" w:bidi="ar"/>
        </w:rPr>
        <w:t>个人工作及发展计划的模版：</w:t>
      </w:r>
    </w:p>
    <w:p w14:paraId="476973B5">
      <w:pPr>
        <w:keepNext w:val="0"/>
        <w:keepLines w:val="0"/>
        <w:pageBreakBefore w:val="0"/>
        <w:widowControl w:val="0"/>
        <w:kinsoku/>
        <w:overflowPunct/>
        <w:autoSpaceDE/>
        <w:autoSpaceDN/>
        <w:bidi w:val="0"/>
        <w:adjustRightInd/>
        <w:snapToGrid/>
        <w:spacing w:line="156" w:lineRule="exact"/>
        <w:textAlignment w:val="auto"/>
        <w:rPr>
          <w:color w:val="auto"/>
        </w:rPr>
      </w:pPr>
    </w:p>
    <w:tbl>
      <w:tblPr>
        <w:tblStyle w:val="6"/>
        <w:tblW w:w="9354" w:type="dxa"/>
        <w:jc w:val="center"/>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Layout w:type="fixed"/>
        <w:tblCellMar>
          <w:top w:w="0" w:type="dxa"/>
          <w:left w:w="0" w:type="dxa"/>
          <w:bottom w:w="0" w:type="dxa"/>
          <w:right w:w="0" w:type="dxa"/>
        </w:tblCellMar>
      </w:tblPr>
      <w:tblGrid>
        <w:gridCol w:w="1105"/>
        <w:gridCol w:w="283"/>
        <w:gridCol w:w="425"/>
        <w:gridCol w:w="567"/>
        <w:gridCol w:w="639"/>
        <w:gridCol w:w="1202"/>
        <w:gridCol w:w="1350"/>
        <w:gridCol w:w="67"/>
        <w:gridCol w:w="1411"/>
        <w:gridCol w:w="2305"/>
      </w:tblGrid>
      <w:tr w14:paraId="7A7B1D97">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63" w:hRule="atLeast"/>
          <w:jc w:val="center"/>
        </w:trPr>
        <w:tc>
          <w:tcPr>
            <w:tcW w:w="9354" w:type="dxa"/>
            <w:gridSpan w:val="10"/>
            <w:vAlign w:val="top"/>
          </w:tcPr>
          <w:p w14:paraId="53558E84">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个人工作及发展计划</w:t>
            </w:r>
          </w:p>
        </w:tc>
      </w:tr>
      <w:tr w14:paraId="52FD7A11">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8" w:hRule="atLeast"/>
          <w:jc w:val="center"/>
        </w:trPr>
        <w:tc>
          <w:tcPr>
            <w:tcW w:w="1105" w:type="dxa"/>
            <w:vAlign w:val="top"/>
          </w:tcPr>
          <w:p w14:paraId="5FD4FF97">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姓名</w:t>
            </w:r>
          </w:p>
        </w:tc>
        <w:tc>
          <w:tcPr>
            <w:tcW w:w="1914" w:type="dxa"/>
            <w:gridSpan w:val="4"/>
            <w:vAlign w:val="top"/>
          </w:tcPr>
          <w:p w14:paraId="599863F9">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p>
        </w:tc>
        <w:tc>
          <w:tcPr>
            <w:tcW w:w="2552" w:type="dxa"/>
            <w:gridSpan w:val="2"/>
            <w:vAlign w:val="top"/>
          </w:tcPr>
          <w:p w14:paraId="0D4D199B">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职务</w:t>
            </w:r>
          </w:p>
        </w:tc>
        <w:tc>
          <w:tcPr>
            <w:tcW w:w="1478" w:type="dxa"/>
            <w:gridSpan w:val="2"/>
            <w:vAlign w:val="top"/>
          </w:tcPr>
          <w:p w14:paraId="36DB40BE">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职务时长</w:t>
            </w:r>
          </w:p>
        </w:tc>
        <w:tc>
          <w:tcPr>
            <w:tcW w:w="2305" w:type="dxa"/>
            <w:vAlign w:val="top"/>
          </w:tcPr>
          <w:p w14:paraId="50AD06D0">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p>
        </w:tc>
      </w:tr>
      <w:tr w14:paraId="344F413A">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105" w:type="dxa"/>
            <w:vAlign w:val="top"/>
          </w:tcPr>
          <w:p w14:paraId="045AE8D2">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上级</w:t>
            </w:r>
          </w:p>
        </w:tc>
        <w:tc>
          <w:tcPr>
            <w:tcW w:w="1914" w:type="dxa"/>
            <w:gridSpan w:val="4"/>
            <w:vAlign w:val="top"/>
          </w:tcPr>
          <w:p w14:paraId="121E6535">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p>
        </w:tc>
        <w:tc>
          <w:tcPr>
            <w:tcW w:w="2552" w:type="dxa"/>
            <w:gridSpan w:val="2"/>
            <w:vAlign w:val="top"/>
          </w:tcPr>
          <w:p w14:paraId="616B8859">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上级职务</w:t>
            </w:r>
          </w:p>
        </w:tc>
        <w:tc>
          <w:tcPr>
            <w:tcW w:w="1478" w:type="dxa"/>
            <w:gridSpan w:val="2"/>
            <w:vAlign w:val="top"/>
          </w:tcPr>
          <w:p w14:paraId="2199A348">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填表时间</w:t>
            </w:r>
          </w:p>
        </w:tc>
        <w:tc>
          <w:tcPr>
            <w:tcW w:w="2305" w:type="dxa"/>
            <w:vAlign w:val="top"/>
          </w:tcPr>
          <w:p w14:paraId="67BBD2FA">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p>
        </w:tc>
      </w:tr>
      <w:tr w14:paraId="00A10EEC">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556" w:hRule="atLeast"/>
          <w:jc w:val="center"/>
        </w:trPr>
        <w:tc>
          <w:tcPr>
            <w:tcW w:w="9354" w:type="dxa"/>
            <w:gridSpan w:val="10"/>
            <w:vAlign w:val="top"/>
          </w:tcPr>
          <w:p w14:paraId="45DD7E86">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【工作计划及成果总结】年初制定工作计划，每季度与上级做一次季度回顾及必要的调整。季度回顾预计每次需要30分钟；年末确认实际结果。</w:t>
            </w:r>
          </w:p>
        </w:tc>
      </w:tr>
      <w:tr w14:paraId="23CAD9BE">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105" w:type="dxa"/>
            <w:vAlign w:val="top"/>
          </w:tcPr>
          <w:p w14:paraId="45ED6748">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工作领域</w:t>
            </w:r>
          </w:p>
        </w:tc>
        <w:tc>
          <w:tcPr>
            <w:tcW w:w="1275" w:type="dxa"/>
            <w:gridSpan w:val="3"/>
            <w:vAlign w:val="top"/>
          </w:tcPr>
          <w:p w14:paraId="51B0C24A">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工作目标</w:t>
            </w:r>
          </w:p>
        </w:tc>
        <w:tc>
          <w:tcPr>
            <w:tcW w:w="3191" w:type="dxa"/>
            <w:gridSpan w:val="3"/>
            <w:vAlign w:val="top"/>
          </w:tcPr>
          <w:p w14:paraId="0C5B774B">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落地思路/具体任务</w:t>
            </w:r>
          </w:p>
        </w:tc>
        <w:tc>
          <w:tcPr>
            <w:tcW w:w="1478" w:type="dxa"/>
            <w:gridSpan w:val="2"/>
            <w:vAlign w:val="top"/>
          </w:tcPr>
          <w:p w14:paraId="0428DF17">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成功标尺</w:t>
            </w:r>
          </w:p>
        </w:tc>
        <w:tc>
          <w:tcPr>
            <w:tcW w:w="2305" w:type="dxa"/>
            <w:vAlign w:val="top"/>
          </w:tcPr>
          <w:p w14:paraId="2EA9C680">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实际结果</w:t>
            </w:r>
          </w:p>
        </w:tc>
      </w:tr>
      <w:tr w14:paraId="3419ED98">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9354" w:type="dxa"/>
            <w:gridSpan w:val="10"/>
            <w:vAlign w:val="top"/>
          </w:tcPr>
          <w:p w14:paraId="6FCE1B42">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业务贡献</w:t>
            </w:r>
          </w:p>
        </w:tc>
      </w:tr>
      <w:tr w14:paraId="466FD31E">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105" w:type="dxa"/>
            <w:vAlign w:val="top"/>
          </w:tcPr>
          <w:p w14:paraId="55344C30">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275" w:type="dxa"/>
            <w:gridSpan w:val="3"/>
            <w:vAlign w:val="top"/>
          </w:tcPr>
          <w:p w14:paraId="083BFEBB">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3191" w:type="dxa"/>
            <w:gridSpan w:val="3"/>
            <w:vAlign w:val="top"/>
          </w:tcPr>
          <w:p w14:paraId="4AABAC09">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478" w:type="dxa"/>
            <w:gridSpan w:val="2"/>
            <w:vAlign w:val="top"/>
          </w:tcPr>
          <w:p w14:paraId="6EBD893E">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2305" w:type="dxa"/>
            <w:vAlign w:val="top"/>
          </w:tcPr>
          <w:p w14:paraId="792FBE15">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2E5CA3C1">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105" w:type="dxa"/>
            <w:vAlign w:val="top"/>
          </w:tcPr>
          <w:p w14:paraId="2197752F">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275" w:type="dxa"/>
            <w:gridSpan w:val="3"/>
            <w:vAlign w:val="top"/>
          </w:tcPr>
          <w:p w14:paraId="076802D7">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3191" w:type="dxa"/>
            <w:gridSpan w:val="3"/>
            <w:vAlign w:val="top"/>
          </w:tcPr>
          <w:p w14:paraId="5A29359E">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478" w:type="dxa"/>
            <w:gridSpan w:val="2"/>
            <w:vAlign w:val="top"/>
          </w:tcPr>
          <w:p w14:paraId="4AD4D4E8">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2305" w:type="dxa"/>
            <w:vAlign w:val="top"/>
          </w:tcPr>
          <w:p w14:paraId="19ABDE5F">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7FD127B9">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105" w:type="dxa"/>
            <w:vAlign w:val="top"/>
          </w:tcPr>
          <w:p w14:paraId="3FA711EA">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275" w:type="dxa"/>
            <w:gridSpan w:val="3"/>
            <w:vAlign w:val="top"/>
          </w:tcPr>
          <w:p w14:paraId="1C51DF11">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3191" w:type="dxa"/>
            <w:gridSpan w:val="3"/>
            <w:vAlign w:val="top"/>
          </w:tcPr>
          <w:p w14:paraId="61FC5B23">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478" w:type="dxa"/>
            <w:gridSpan w:val="2"/>
            <w:vAlign w:val="top"/>
          </w:tcPr>
          <w:p w14:paraId="5BA402D8">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2305" w:type="dxa"/>
            <w:vAlign w:val="top"/>
          </w:tcPr>
          <w:p w14:paraId="395D33A4">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72FC08AB">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105" w:type="dxa"/>
            <w:vAlign w:val="top"/>
          </w:tcPr>
          <w:p w14:paraId="5E9002A6">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275" w:type="dxa"/>
            <w:gridSpan w:val="3"/>
            <w:vAlign w:val="top"/>
          </w:tcPr>
          <w:p w14:paraId="58FC9148">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3191" w:type="dxa"/>
            <w:gridSpan w:val="3"/>
            <w:vAlign w:val="top"/>
          </w:tcPr>
          <w:p w14:paraId="5BBF997B">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478" w:type="dxa"/>
            <w:gridSpan w:val="2"/>
            <w:vAlign w:val="top"/>
          </w:tcPr>
          <w:p w14:paraId="0C700C71">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2305" w:type="dxa"/>
            <w:vAlign w:val="top"/>
          </w:tcPr>
          <w:p w14:paraId="6D4504B3">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0C824598">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9354" w:type="dxa"/>
            <w:gridSpan w:val="10"/>
            <w:vAlign w:val="top"/>
          </w:tcPr>
          <w:p w14:paraId="319A7779">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组织贡献（包括创造原则案例、知识积累、流程梳理、发展他人、团队学习等）</w:t>
            </w:r>
          </w:p>
        </w:tc>
      </w:tr>
      <w:tr w14:paraId="517B2C8B">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105" w:type="dxa"/>
            <w:vAlign w:val="top"/>
          </w:tcPr>
          <w:p w14:paraId="739B39CC">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275" w:type="dxa"/>
            <w:gridSpan w:val="3"/>
            <w:vAlign w:val="top"/>
          </w:tcPr>
          <w:p w14:paraId="153C3D79">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3191" w:type="dxa"/>
            <w:gridSpan w:val="3"/>
            <w:vAlign w:val="top"/>
          </w:tcPr>
          <w:p w14:paraId="1FCBFEEC">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478" w:type="dxa"/>
            <w:gridSpan w:val="2"/>
            <w:vAlign w:val="top"/>
          </w:tcPr>
          <w:p w14:paraId="71FD8A07">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2305" w:type="dxa"/>
            <w:vAlign w:val="top"/>
          </w:tcPr>
          <w:p w14:paraId="3726331A">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327944B8">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105" w:type="dxa"/>
            <w:vAlign w:val="top"/>
          </w:tcPr>
          <w:p w14:paraId="2649C70F">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275" w:type="dxa"/>
            <w:gridSpan w:val="3"/>
            <w:vAlign w:val="top"/>
          </w:tcPr>
          <w:p w14:paraId="3ED55E6D">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3191" w:type="dxa"/>
            <w:gridSpan w:val="3"/>
            <w:vAlign w:val="top"/>
          </w:tcPr>
          <w:p w14:paraId="124CA659">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1478" w:type="dxa"/>
            <w:gridSpan w:val="2"/>
            <w:vAlign w:val="top"/>
          </w:tcPr>
          <w:p w14:paraId="61BC6169">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c>
          <w:tcPr>
            <w:tcW w:w="2305" w:type="dxa"/>
            <w:vAlign w:val="top"/>
          </w:tcPr>
          <w:p w14:paraId="04B6B604">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024544E7">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804" w:hRule="atLeast"/>
          <w:jc w:val="center"/>
        </w:trPr>
        <w:tc>
          <w:tcPr>
            <w:tcW w:w="9354" w:type="dxa"/>
            <w:gridSpan w:val="10"/>
            <w:vAlign w:val="top"/>
          </w:tcPr>
          <w:p w14:paraId="390C6704">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【发展计划】由上级填写强项和发展项，由员工根据发展项填写提高此项能力的计划（包括员工的行动和希望上级的行动）。然后，上级与员工共同讨论后确定。填写强项和发展项时需要参照员工能力模型。</w:t>
            </w:r>
          </w:p>
        </w:tc>
      </w:tr>
      <w:tr w14:paraId="1DBA1F9A">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4221" w:type="dxa"/>
            <w:gridSpan w:val="6"/>
            <w:vAlign w:val="top"/>
          </w:tcPr>
          <w:p w14:paraId="4419ED8F">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强项及其具体体现</w:t>
            </w:r>
          </w:p>
        </w:tc>
        <w:tc>
          <w:tcPr>
            <w:tcW w:w="5133" w:type="dxa"/>
            <w:gridSpan w:val="4"/>
            <w:vAlign w:val="top"/>
          </w:tcPr>
          <w:p w14:paraId="18A0C041">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强项可如何再加强？</w:t>
            </w:r>
          </w:p>
        </w:tc>
      </w:tr>
      <w:tr w14:paraId="314DA4ED">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4221" w:type="dxa"/>
            <w:gridSpan w:val="6"/>
            <w:vAlign w:val="top"/>
          </w:tcPr>
          <w:p w14:paraId="403250CB">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1</w:t>
            </w:r>
          </w:p>
        </w:tc>
        <w:tc>
          <w:tcPr>
            <w:tcW w:w="5133" w:type="dxa"/>
            <w:gridSpan w:val="4"/>
            <w:vAlign w:val="top"/>
          </w:tcPr>
          <w:p w14:paraId="7F797CE3">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p>
        </w:tc>
      </w:tr>
      <w:tr w14:paraId="49040C9A">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4221" w:type="dxa"/>
            <w:gridSpan w:val="6"/>
            <w:vAlign w:val="top"/>
          </w:tcPr>
          <w:p w14:paraId="0F590B97">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2</w:t>
            </w:r>
          </w:p>
        </w:tc>
        <w:tc>
          <w:tcPr>
            <w:tcW w:w="5133" w:type="dxa"/>
            <w:gridSpan w:val="4"/>
            <w:vAlign w:val="top"/>
          </w:tcPr>
          <w:p w14:paraId="639426B2">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p>
        </w:tc>
      </w:tr>
      <w:tr w14:paraId="281E9F48">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4221" w:type="dxa"/>
            <w:gridSpan w:val="6"/>
            <w:vAlign w:val="top"/>
          </w:tcPr>
          <w:p w14:paraId="2131E222">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3</w:t>
            </w:r>
          </w:p>
        </w:tc>
        <w:tc>
          <w:tcPr>
            <w:tcW w:w="5133" w:type="dxa"/>
            <w:gridSpan w:val="4"/>
            <w:vAlign w:val="top"/>
          </w:tcPr>
          <w:p w14:paraId="2E9DC80E">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p>
        </w:tc>
      </w:tr>
      <w:tr w14:paraId="1A06EF05">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388" w:type="dxa"/>
            <w:gridSpan w:val="2"/>
            <w:vAlign w:val="top"/>
          </w:tcPr>
          <w:p w14:paraId="3AB8AB3E">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发展项</w:t>
            </w:r>
          </w:p>
        </w:tc>
        <w:tc>
          <w:tcPr>
            <w:tcW w:w="2833" w:type="dxa"/>
            <w:gridSpan w:val="4"/>
            <w:vAlign w:val="top"/>
          </w:tcPr>
          <w:p w14:paraId="4BD7E5E4">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员工将采取的行动计划</w:t>
            </w:r>
          </w:p>
        </w:tc>
        <w:tc>
          <w:tcPr>
            <w:tcW w:w="5133" w:type="dxa"/>
            <w:gridSpan w:val="4"/>
            <w:vAlign w:val="top"/>
          </w:tcPr>
          <w:p w14:paraId="0518EEB5">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上级将采取的行动</w:t>
            </w:r>
          </w:p>
        </w:tc>
      </w:tr>
      <w:tr w14:paraId="453F9E19">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388" w:type="dxa"/>
            <w:gridSpan w:val="2"/>
            <w:vAlign w:val="top"/>
          </w:tcPr>
          <w:p w14:paraId="26B7B822">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1</w:t>
            </w:r>
          </w:p>
        </w:tc>
        <w:tc>
          <w:tcPr>
            <w:tcW w:w="2833" w:type="dxa"/>
            <w:gridSpan w:val="4"/>
            <w:vAlign w:val="top"/>
          </w:tcPr>
          <w:p w14:paraId="6D630346">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p>
        </w:tc>
        <w:tc>
          <w:tcPr>
            <w:tcW w:w="5133" w:type="dxa"/>
            <w:gridSpan w:val="4"/>
            <w:vAlign w:val="top"/>
          </w:tcPr>
          <w:p w14:paraId="6BFA7D2E">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p>
        </w:tc>
      </w:tr>
      <w:tr w14:paraId="46F91A8C">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388" w:type="dxa"/>
            <w:gridSpan w:val="2"/>
            <w:vAlign w:val="top"/>
          </w:tcPr>
          <w:p w14:paraId="4A97A48A">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2</w:t>
            </w:r>
          </w:p>
        </w:tc>
        <w:tc>
          <w:tcPr>
            <w:tcW w:w="2833" w:type="dxa"/>
            <w:gridSpan w:val="4"/>
            <w:vAlign w:val="top"/>
          </w:tcPr>
          <w:p w14:paraId="65703408">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p>
        </w:tc>
        <w:tc>
          <w:tcPr>
            <w:tcW w:w="5133" w:type="dxa"/>
            <w:gridSpan w:val="4"/>
            <w:vAlign w:val="top"/>
          </w:tcPr>
          <w:p w14:paraId="7DF2F686">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p>
        </w:tc>
      </w:tr>
      <w:tr w14:paraId="5F825229">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1388" w:type="dxa"/>
            <w:gridSpan w:val="2"/>
            <w:vAlign w:val="top"/>
          </w:tcPr>
          <w:p w14:paraId="494562A4">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3</w:t>
            </w:r>
          </w:p>
        </w:tc>
        <w:tc>
          <w:tcPr>
            <w:tcW w:w="2833" w:type="dxa"/>
            <w:gridSpan w:val="4"/>
            <w:vAlign w:val="top"/>
          </w:tcPr>
          <w:p w14:paraId="6B4D9A53">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p>
        </w:tc>
        <w:tc>
          <w:tcPr>
            <w:tcW w:w="5133" w:type="dxa"/>
            <w:gridSpan w:val="4"/>
            <w:vAlign w:val="top"/>
          </w:tcPr>
          <w:p w14:paraId="0CD2168C">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p>
        </w:tc>
      </w:tr>
      <w:tr w14:paraId="08391F3E">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804" w:hRule="atLeast"/>
          <w:jc w:val="center"/>
        </w:trPr>
        <w:tc>
          <w:tcPr>
            <w:tcW w:w="9354" w:type="dxa"/>
            <w:gridSpan w:val="10"/>
            <w:vAlign w:val="top"/>
          </w:tcPr>
          <w:p w14:paraId="71F679B7">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【总体评估】由上级完成，描述该员工本年度工作达成目标的总情况。如该员工有其他上级，在与员工个人反馈前要先与其他上级沟 通并达成一致。此评价结果将用于绩效考核的等级评价。在做总体评价时请给出 1-5 分的定量评价和具体的描述评价。</w:t>
            </w:r>
          </w:p>
        </w:tc>
      </w:tr>
      <w:tr w14:paraId="6889868D">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459" w:hRule="atLeast"/>
          <w:jc w:val="center"/>
        </w:trPr>
        <w:tc>
          <w:tcPr>
            <w:tcW w:w="9354" w:type="dxa"/>
            <w:gridSpan w:val="10"/>
            <w:vAlign w:val="top"/>
          </w:tcPr>
          <w:p w14:paraId="2FBB8120">
            <w:pPr>
              <w:keepNext w:val="0"/>
              <w:keepLines w:val="0"/>
              <w:pageBreakBefore w:val="0"/>
              <w:widowControl w:val="0"/>
              <w:kinsoku/>
              <w:overflowPunct/>
              <w:autoSpaceDE/>
              <w:autoSpaceDN/>
              <w:bidi w:val="0"/>
              <w:adjustRightInd/>
              <w:snapToGrid/>
              <w:textAlignment w:val="auto"/>
              <w:rPr>
                <w:rFonts w:hint="eastAsia" w:ascii="宋体" w:hAnsi="宋体" w:eastAsia="宋体" w:cs="宋体"/>
                <w:color w:val="auto"/>
                <w:kern w:val="0"/>
                <w:sz w:val="24"/>
                <w:szCs w:val="24"/>
                <w:lang w:val="en-US" w:eastAsia="en-US" w:bidi="ar"/>
              </w:rPr>
            </w:pPr>
          </w:p>
        </w:tc>
      </w:tr>
      <w:tr w14:paraId="1DB18F93">
        <w:tblPrEx>
          <w:tblBorders>
            <w:top w:val="single" w:color="F3541A" w:sz="2" w:space="0"/>
            <w:left w:val="single" w:color="F3541A" w:sz="2" w:space="0"/>
            <w:bottom w:val="single" w:color="F3541A" w:sz="2" w:space="0"/>
            <w:right w:val="single" w:color="F3541A" w:sz="2" w:space="0"/>
            <w:insideH w:val="single" w:color="F3541A" w:sz="2" w:space="0"/>
            <w:insideV w:val="single" w:color="F3541A" w:sz="2" w:space="0"/>
          </w:tblBorders>
          <w:tblCellMar>
            <w:top w:w="0" w:type="dxa"/>
            <w:left w:w="0" w:type="dxa"/>
            <w:bottom w:w="0" w:type="dxa"/>
            <w:right w:w="0" w:type="dxa"/>
          </w:tblCellMar>
        </w:tblPrEx>
        <w:trPr>
          <w:trHeight w:val="546" w:hRule="atLeast"/>
          <w:jc w:val="center"/>
        </w:trPr>
        <w:tc>
          <w:tcPr>
            <w:tcW w:w="1813" w:type="dxa"/>
            <w:gridSpan w:val="3"/>
            <w:vAlign w:val="top"/>
          </w:tcPr>
          <w:p w14:paraId="262E3EEB">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员工签名/时间</w:t>
            </w:r>
          </w:p>
        </w:tc>
        <w:tc>
          <w:tcPr>
            <w:tcW w:w="3825" w:type="dxa"/>
            <w:gridSpan w:val="5"/>
            <w:vAlign w:val="top"/>
          </w:tcPr>
          <w:p w14:paraId="1E8B7AB2">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上级签名/时间</w:t>
            </w:r>
          </w:p>
        </w:tc>
        <w:tc>
          <w:tcPr>
            <w:tcW w:w="3716" w:type="dxa"/>
            <w:gridSpan w:val="2"/>
            <w:vAlign w:val="top"/>
          </w:tcPr>
          <w:p w14:paraId="004CCF6E">
            <w:pPr>
              <w:pStyle w:val="7"/>
              <w:keepNext w:val="0"/>
              <w:keepLines w:val="0"/>
              <w:pageBreakBefore w:val="0"/>
              <w:widowControl w:val="0"/>
              <w:kinsoku/>
              <w:overflowPunct/>
              <w:autoSpaceDE/>
              <w:autoSpaceDN/>
              <w:bidi w:val="0"/>
              <w:adjustRightInd/>
              <w:snapToGrid/>
              <w:spacing w:before="212" w:line="228" w:lineRule="auto"/>
              <w:textAlignment w:val="auto"/>
              <w:rPr>
                <w:rFonts w:hint="eastAsia" w:ascii="宋体" w:hAnsi="宋体" w:eastAsia="宋体" w:cs="宋体"/>
                <w:color w:val="auto"/>
                <w:kern w:val="0"/>
                <w:sz w:val="24"/>
                <w:szCs w:val="24"/>
                <w:lang w:val="en-US" w:eastAsia="en-US" w:bidi="ar"/>
              </w:rPr>
            </w:pPr>
            <w:r>
              <w:rPr>
                <w:rFonts w:hint="eastAsia" w:ascii="宋体" w:hAnsi="宋体" w:eastAsia="宋体" w:cs="宋体"/>
                <w:color w:val="auto"/>
                <w:kern w:val="0"/>
                <w:sz w:val="24"/>
                <w:szCs w:val="24"/>
                <w:lang w:val="en-US" w:eastAsia="en-US" w:bidi="ar"/>
              </w:rPr>
              <w:t>其他上级签名/时间</w:t>
            </w:r>
          </w:p>
        </w:tc>
      </w:tr>
    </w:tbl>
    <w:p w14:paraId="519FE16F">
      <w:pPr>
        <w:keepNext w:val="0"/>
        <w:keepLines w:val="0"/>
        <w:pageBreakBefore w:val="0"/>
        <w:widowControl w:val="0"/>
        <w:numPr>
          <w:ilvl w:val="0"/>
          <w:numId w:val="9"/>
        </w:numPr>
        <w:suppressLineNumbers w:val="0"/>
        <w:kinsoku/>
        <w:overflowPunct/>
        <w:autoSpaceDE/>
        <w:autoSpaceDN/>
        <w:bidi w:val="0"/>
        <w:adjustRightInd/>
        <w:snapToGrid/>
        <w:spacing w:line="360" w:lineRule="auto"/>
        <w:ind w:left="420" w:leftChars="0" w:hanging="420" w:firstLineChars="0"/>
        <w:jc w:val="left"/>
        <w:textAlignment w:val="auto"/>
        <w:rPr>
          <w:b/>
          <w:bCs/>
          <w:color w:val="auto"/>
          <w:sz w:val="24"/>
          <w:szCs w:val="24"/>
        </w:rPr>
      </w:pPr>
      <w:r>
        <w:rPr>
          <w:rFonts w:hint="eastAsia" w:ascii="宋体" w:hAnsi="宋体" w:eastAsia="宋体" w:cs="宋体"/>
          <w:b/>
          <w:bCs/>
          <w:color w:val="auto"/>
          <w:kern w:val="0"/>
          <w:sz w:val="24"/>
          <w:szCs w:val="24"/>
          <w:lang w:val="en-US" w:eastAsia="zh-CN" w:bidi="ar"/>
        </w:rPr>
        <w:t xml:space="preserve">操作指引： </w:t>
      </w:r>
    </w:p>
    <w:p w14:paraId="6A99E18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年度工作及发展计划的启动和总结与预算财年结合，一般计划的启动在1-2 月，总结评价在 12 月或 1 月。 </w:t>
      </w:r>
    </w:p>
    <w:p w14:paraId="53CC5198">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上级和员工至少每个季度对工作计划进行讨论，回顾已取得的成果，并在必要的情况下对工作计划做出调整。 </w:t>
      </w:r>
    </w:p>
    <w:p w14:paraId="6C25968C">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在制定工作计划时，先由员工填写，与上级讨论后，由上级批准、确定。 </w:t>
      </w:r>
    </w:p>
    <w:p w14:paraId="45FA65B9">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能力发展计划，根据上级所做的能力评估，由上下级讨论后确定。 </w:t>
      </w:r>
    </w:p>
    <w:p w14:paraId="0DD4BCCC">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年底的总结阶段，由上级发起，员工客观填写员工年度工作成果的部分，需经上级批准确认。上级填写总体评价。 </w:t>
      </w:r>
    </w:p>
    <w:p w14:paraId="6D577F06">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总体评价是年底绩效考核评级的重要参考内容之一。 </w:t>
      </w:r>
    </w:p>
    <w:p w14:paraId="20ADEF6E">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以上内容，客观记录，保留进入员工发展档案。 </w:t>
      </w:r>
    </w:p>
    <w:p w14:paraId="505EEEEF">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当工作岗位发生重大变化后，要立刻变更工作与发展计划。 </w:t>
      </w:r>
    </w:p>
    <w:p w14:paraId="17832F9E">
      <w:pPr>
        <w:keepNext w:val="0"/>
        <w:keepLines w:val="0"/>
        <w:pageBreakBefore w:val="0"/>
        <w:widowControl w:val="0"/>
        <w:suppressLineNumbers w:val="0"/>
        <w:kinsoku/>
        <w:overflowPunct/>
        <w:autoSpaceDE/>
        <w:autoSpaceDN/>
        <w:bidi w:val="0"/>
        <w:adjustRightInd/>
        <w:snapToGrid/>
        <w:spacing w:line="360" w:lineRule="auto"/>
        <w:jc w:val="left"/>
        <w:textAlignment w:val="auto"/>
        <w:rPr>
          <w:b/>
          <w:bCs/>
          <w:color w:val="auto"/>
          <w:sz w:val="24"/>
          <w:szCs w:val="24"/>
        </w:rPr>
      </w:pPr>
      <w:r>
        <w:rPr>
          <w:rFonts w:hint="default" w:ascii="Wingdings" w:hAnsi="Wingdings" w:eastAsia="宋体" w:cs="Wingdings"/>
          <w:b/>
          <w:bC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填写内容注意事项： </w:t>
      </w:r>
    </w:p>
    <w:p w14:paraId="0C006BAC">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年度工作计划：只填写最关键的3-5项工作内容，原则上不超过5 项，需包括至少 1 项组织贡献； </w:t>
      </w:r>
    </w:p>
    <w:p w14:paraId="346F99DE">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成功标尺：既包括关键性结果指标，也包括关键过程指标。 </w:t>
      </w:r>
    </w:p>
    <w:p w14:paraId="30AE01B8">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实际结果：须为客观真实的反应，若有违真实，上级有否决权。 </w:t>
      </w:r>
    </w:p>
    <w:p w14:paraId="37BEE5FF">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能力评估：上级须结合员工能力模型进行评估，选择对提升工作成果有重要作用的能力项。 </w:t>
      </w:r>
    </w:p>
    <w:p w14:paraId="3B8B7F0A">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发展计划：双方根据岗位情况讨论制定，包括但不限于培训、项目、辅导等多种方式。 </w:t>
      </w:r>
    </w:p>
    <w:p w14:paraId="4B9A1305">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总体评价：上级应明确指出该员工“未达到”或“达到”或“超过”对该员工的期望。 </w:t>
      </w:r>
    </w:p>
    <w:p w14:paraId="1D17B3CB">
      <w:pPr>
        <w:keepNext w:val="0"/>
        <w:keepLines w:val="0"/>
        <w:pageBreakBefore w:val="0"/>
        <w:widowControl w:val="0"/>
        <w:suppressLineNumbers w:val="0"/>
        <w:kinsoku/>
        <w:overflowPunct/>
        <w:autoSpaceDE/>
        <w:autoSpaceDN/>
        <w:bidi w:val="0"/>
        <w:adjustRightInd/>
        <w:snapToGrid/>
        <w:spacing w:line="360" w:lineRule="auto"/>
        <w:jc w:val="left"/>
        <w:textAlignment w:val="auto"/>
        <w:rPr>
          <w:b/>
          <w:bCs/>
          <w:color w:val="auto"/>
          <w:sz w:val="24"/>
          <w:szCs w:val="24"/>
        </w:rPr>
      </w:pPr>
      <w:r>
        <w:rPr>
          <w:rFonts w:hint="default" w:ascii="Wingdings" w:hAnsi="Wingdings" w:eastAsia="宋体" w:cs="Wingdings"/>
          <w:b/>
          <w:bC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沟通注意事项： </w:t>
      </w:r>
    </w:p>
    <w:p w14:paraId="0624F49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年初完成工作及发展计划、年末完成总体评价，都需要与员工进行正式沟通。每个季度需要定期沟通。 </w:t>
      </w:r>
    </w:p>
    <w:p w14:paraId="4223618C">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default" w:ascii="Wingdings" w:hAnsi="Wingdings" w:eastAsia="宋体" w:cs="Wingdings"/>
          <w:color w:val="auto"/>
          <w:kern w:val="0"/>
          <w:sz w:val="24"/>
          <w:szCs w:val="24"/>
          <w:lang w:val="en-US" w:eastAsia="zh-CN" w:bidi="ar"/>
        </w:rPr>
      </w:pPr>
      <w:r>
        <w:rPr>
          <w:rFonts w:hint="default" w:ascii="Symbol" w:hAnsi="Symbol" w:eastAsia="宋体" w:cs="Symbol"/>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沟通的核心目的不仅是就工作计划、业绩等事项达成一致，沟通也不是 “批评”或“表扬”，而是为提升员工能力及业绩而进行的“建设性”反馈、辅导、帮助。 注意沟通中传达信息的一致性，避免到年末沟通时才给员工“惊吓”。 </w:t>
      </w:r>
    </w:p>
    <w:p w14:paraId="4C05DDAB">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培训支持： </w:t>
      </w:r>
    </w:p>
    <w:p w14:paraId="42F799E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目的：通过内部培训开发和外部培训的参加或引入，有针对性的提高员工能力。并促进机构自有知识的积累，鼓励产生内部培训/分享师，以此加速员 </w:t>
      </w:r>
    </w:p>
    <w:p w14:paraId="22BF191D">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工成长，提高成就感。 </w:t>
      </w:r>
    </w:p>
    <w:p w14:paraId="61D1FB5A">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 xml:space="preserve">培训框架： </w:t>
      </w:r>
    </w:p>
    <w:p w14:paraId="24908CE9">
      <w:pPr>
        <w:keepNext w:val="0"/>
        <w:keepLines w:val="0"/>
        <w:pageBreakBefore w:val="0"/>
        <w:widowControl w:val="0"/>
        <w:kinsoku/>
        <w:overflowPunct/>
        <w:autoSpaceDE/>
        <w:autoSpaceDN/>
        <w:bidi w:val="0"/>
        <w:adjustRightInd/>
        <w:snapToGrid/>
        <w:spacing w:line="77" w:lineRule="exact"/>
        <w:textAlignment w:val="auto"/>
        <w:rPr>
          <w:color w:val="auto"/>
        </w:rPr>
      </w:pPr>
    </w:p>
    <w:tbl>
      <w:tblPr>
        <w:tblStyle w:val="6"/>
        <w:tblW w:w="8924" w:type="dxa"/>
        <w:tblInd w:w="51" w:type="dxa"/>
        <w:tblBorders>
          <w:top w:val="single" w:color="F9680D" w:sz="6" w:space="0"/>
          <w:left w:val="single" w:color="F9680D" w:sz="6" w:space="0"/>
          <w:bottom w:val="single" w:color="F9680D" w:sz="6" w:space="0"/>
          <w:right w:val="single" w:color="F9680D" w:sz="6" w:space="0"/>
          <w:insideH w:val="single" w:color="F9680D" w:sz="6" w:space="0"/>
          <w:insideV w:val="single" w:color="F9680D" w:sz="6" w:space="0"/>
        </w:tblBorders>
        <w:tblLayout w:type="fixed"/>
        <w:tblCellMar>
          <w:top w:w="0" w:type="dxa"/>
          <w:left w:w="0" w:type="dxa"/>
          <w:bottom w:w="0" w:type="dxa"/>
          <w:right w:w="0" w:type="dxa"/>
        </w:tblCellMar>
      </w:tblPr>
      <w:tblGrid>
        <w:gridCol w:w="1218"/>
        <w:gridCol w:w="2613"/>
        <w:gridCol w:w="4026"/>
        <w:gridCol w:w="1067"/>
      </w:tblGrid>
      <w:tr w14:paraId="161F19C7">
        <w:tblPrEx>
          <w:tblBorders>
            <w:top w:val="single" w:color="F9680D" w:sz="6" w:space="0"/>
            <w:left w:val="single" w:color="F9680D" w:sz="6" w:space="0"/>
            <w:bottom w:val="single" w:color="F9680D" w:sz="6" w:space="0"/>
            <w:right w:val="single" w:color="F9680D" w:sz="6" w:space="0"/>
            <w:insideH w:val="single" w:color="F9680D" w:sz="6" w:space="0"/>
            <w:insideV w:val="single" w:color="F9680D" w:sz="6" w:space="0"/>
          </w:tblBorders>
          <w:tblCellMar>
            <w:top w:w="0" w:type="dxa"/>
            <w:left w:w="0" w:type="dxa"/>
            <w:bottom w:w="0" w:type="dxa"/>
            <w:right w:w="0" w:type="dxa"/>
          </w:tblCellMar>
        </w:tblPrEx>
        <w:trPr>
          <w:trHeight w:val="484" w:hRule="atLeast"/>
        </w:trPr>
        <w:tc>
          <w:tcPr>
            <w:tcW w:w="1218" w:type="dxa"/>
            <w:shd w:val="clear" w:color="auto" w:fill="F9680D"/>
            <w:vAlign w:val="top"/>
          </w:tcPr>
          <w:p w14:paraId="1B81FF88">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类别</w:t>
            </w:r>
          </w:p>
        </w:tc>
        <w:tc>
          <w:tcPr>
            <w:tcW w:w="2613" w:type="dxa"/>
            <w:shd w:val="clear" w:color="auto" w:fill="F9680D"/>
            <w:vAlign w:val="top"/>
          </w:tcPr>
          <w:p w14:paraId="05044717">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目的</w:t>
            </w:r>
          </w:p>
        </w:tc>
        <w:tc>
          <w:tcPr>
            <w:tcW w:w="4026" w:type="dxa"/>
            <w:shd w:val="clear" w:color="auto" w:fill="F9680D"/>
            <w:vAlign w:val="top"/>
          </w:tcPr>
          <w:p w14:paraId="713AEB47">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包括内容</w:t>
            </w:r>
          </w:p>
        </w:tc>
        <w:tc>
          <w:tcPr>
            <w:tcW w:w="1067" w:type="dxa"/>
            <w:shd w:val="clear" w:color="auto" w:fill="F9680D"/>
            <w:vAlign w:val="top"/>
          </w:tcPr>
          <w:p w14:paraId="11D63A50">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提供方式</w:t>
            </w:r>
          </w:p>
        </w:tc>
      </w:tr>
      <w:tr w14:paraId="036272D9">
        <w:tblPrEx>
          <w:tblBorders>
            <w:top w:val="single" w:color="F9680D" w:sz="6" w:space="0"/>
            <w:left w:val="single" w:color="F9680D" w:sz="6" w:space="0"/>
            <w:bottom w:val="single" w:color="F9680D" w:sz="6" w:space="0"/>
            <w:right w:val="single" w:color="F9680D" w:sz="6" w:space="0"/>
            <w:insideH w:val="single" w:color="F9680D" w:sz="6" w:space="0"/>
            <w:insideV w:val="single" w:color="F9680D" w:sz="6" w:space="0"/>
          </w:tblBorders>
          <w:tblCellMar>
            <w:top w:w="0" w:type="dxa"/>
            <w:left w:w="0" w:type="dxa"/>
            <w:bottom w:w="0" w:type="dxa"/>
            <w:right w:w="0" w:type="dxa"/>
          </w:tblCellMar>
        </w:tblPrEx>
        <w:trPr>
          <w:trHeight w:val="1271" w:hRule="atLeast"/>
        </w:trPr>
        <w:tc>
          <w:tcPr>
            <w:tcW w:w="1218" w:type="dxa"/>
            <w:vAlign w:val="top"/>
          </w:tcPr>
          <w:p w14:paraId="42C06040">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机构知识</w:t>
            </w:r>
          </w:p>
        </w:tc>
        <w:tc>
          <w:tcPr>
            <w:tcW w:w="2613" w:type="dxa"/>
            <w:vAlign w:val="top"/>
          </w:tcPr>
          <w:p w14:paraId="545B6518">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提升员工对机构的理解与认 同，使员工掌握机构对员工的 期望及要求。</w:t>
            </w:r>
          </w:p>
        </w:tc>
        <w:tc>
          <w:tcPr>
            <w:tcW w:w="4026" w:type="dxa"/>
            <w:vAlign w:val="top"/>
          </w:tcPr>
          <w:p w14:paraId="263ED324">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机构历史、定位、使命愿景价值观、行动策略、 核心业务和典型项目、典型利益相关方、工作 原则、能力要求、机构制度、部门职责等。</w:t>
            </w:r>
          </w:p>
        </w:tc>
        <w:tc>
          <w:tcPr>
            <w:tcW w:w="1067" w:type="dxa"/>
            <w:vAlign w:val="top"/>
          </w:tcPr>
          <w:p w14:paraId="22E0C673">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内部开发</w:t>
            </w:r>
          </w:p>
        </w:tc>
      </w:tr>
      <w:tr w14:paraId="1740364C">
        <w:tblPrEx>
          <w:tblBorders>
            <w:top w:val="single" w:color="F9680D" w:sz="6" w:space="0"/>
            <w:left w:val="single" w:color="F9680D" w:sz="6" w:space="0"/>
            <w:bottom w:val="single" w:color="F9680D" w:sz="6" w:space="0"/>
            <w:right w:val="single" w:color="F9680D" w:sz="6" w:space="0"/>
            <w:insideH w:val="single" w:color="F9680D" w:sz="6" w:space="0"/>
            <w:insideV w:val="single" w:color="F9680D" w:sz="6" w:space="0"/>
          </w:tblBorders>
          <w:tblCellMar>
            <w:top w:w="0" w:type="dxa"/>
            <w:left w:w="0" w:type="dxa"/>
            <w:bottom w:w="0" w:type="dxa"/>
            <w:right w:w="0" w:type="dxa"/>
          </w:tblCellMar>
        </w:tblPrEx>
        <w:trPr>
          <w:trHeight w:val="1816" w:hRule="atLeast"/>
        </w:trPr>
        <w:tc>
          <w:tcPr>
            <w:tcW w:w="1218" w:type="dxa"/>
            <w:vAlign w:val="top"/>
          </w:tcPr>
          <w:p w14:paraId="1115E03A">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工作原则及 通用能力</w:t>
            </w:r>
          </w:p>
        </w:tc>
        <w:tc>
          <w:tcPr>
            <w:tcW w:w="2613" w:type="dxa"/>
            <w:vAlign w:val="top"/>
          </w:tcPr>
          <w:p w14:paraId="77FF04C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提升员工的职业化水平，形成 共同的做事方式。</w:t>
            </w:r>
          </w:p>
        </w:tc>
        <w:tc>
          <w:tcPr>
            <w:tcW w:w="4026" w:type="dxa"/>
            <w:vAlign w:val="top"/>
          </w:tcPr>
          <w:p w14:paraId="4D735D1C">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原则：大局思维、主动探寻、积极影响、互相 成就、真诚务实。</w:t>
            </w:r>
          </w:p>
          <w:p w14:paraId="0FC1534E">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能力：主人翁精神、 目标导向与创造性执行、 主动沟通与协作、团队学习、系统思考与策略 性、资源理解与整合</w:t>
            </w:r>
          </w:p>
        </w:tc>
        <w:tc>
          <w:tcPr>
            <w:tcW w:w="1067" w:type="dxa"/>
            <w:vAlign w:val="top"/>
          </w:tcPr>
          <w:p w14:paraId="25E83D2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内部开发+ 外部供给</w:t>
            </w:r>
          </w:p>
        </w:tc>
      </w:tr>
      <w:tr w14:paraId="522B6469">
        <w:tblPrEx>
          <w:tblBorders>
            <w:top w:val="single" w:color="F9680D" w:sz="6" w:space="0"/>
            <w:left w:val="single" w:color="F9680D" w:sz="6" w:space="0"/>
            <w:bottom w:val="single" w:color="F9680D" w:sz="6" w:space="0"/>
            <w:right w:val="single" w:color="F9680D" w:sz="6" w:space="0"/>
            <w:insideH w:val="single" w:color="F9680D" w:sz="6" w:space="0"/>
            <w:insideV w:val="single" w:color="F9680D" w:sz="6" w:space="0"/>
          </w:tblBorders>
          <w:tblCellMar>
            <w:top w:w="0" w:type="dxa"/>
            <w:left w:w="0" w:type="dxa"/>
            <w:bottom w:w="0" w:type="dxa"/>
            <w:right w:w="0" w:type="dxa"/>
          </w:tblCellMar>
        </w:tblPrEx>
        <w:trPr>
          <w:trHeight w:val="1097" w:hRule="atLeast"/>
        </w:trPr>
        <w:tc>
          <w:tcPr>
            <w:tcW w:w="1218" w:type="dxa"/>
            <w:vAlign w:val="top"/>
          </w:tcPr>
          <w:p w14:paraId="16292546">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管理技能</w:t>
            </w:r>
          </w:p>
        </w:tc>
        <w:tc>
          <w:tcPr>
            <w:tcW w:w="2613" w:type="dxa"/>
            <w:vAlign w:val="top"/>
          </w:tcPr>
          <w:p w14:paraId="4E9FDDED">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提升管理者的管理能力，以及 通过员工实现结果，提高团队 成效和凝聚力的能力。</w:t>
            </w:r>
          </w:p>
        </w:tc>
        <w:tc>
          <w:tcPr>
            <w:tcW w:w="4026" w:type="dxa"/>
            <w:vAlign w:val="top"/>
          </w:tcPr>
          <w:p w14:paraId="7D8D14E4">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团队发展与激励</w:t>
            </w:r>
          </w:p>
        </w:tc>
        <w:tc>
          <w:tcPr>
            <w:tcW w:w="1067" w:type="dxa"/>
            <w:vAlign w:val="top"/>
          </w:tcPr>
          <w:p w14:paraId="3492BF36">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外部供给</w:t>
            </w:r>
          </w:p>
        </w:tc>
      </w:tr>
      <w:tr w14:paraId="2ABBE444">
        <w:tblPrEx>
          <w:tblBorders>
            <w:top w:val="single" w:color="F9680D" w:sz="6" w:space="0"/>
            <w:left w:val="single" w:color="F9680D" w:sz="6" w:space="0"/>
            <w:bottom w:val="single" w:color="F9680D" w:sz="6" w:space="0"/>
            <w:right w:val="single" w:color="F9680D" w:sz="6" w:space="0"/>
            <w:insideH w:val="single" w:color="F9680D" w:sz="6" w:space="0"/>
            <w:insideV w:val="single" w:color="F9680D" w:sz="6" w:space="0"/>
          </w:tblBorders>
          <w:tblCellMar>
            <w:top w:w="0" w:type="dxa"/>
            <w:left w:w="0" w:type="dxa"/>
            <w:bottom w:w="0" w:type="dxa"/>
            <w:right w:w="0" w:type="dxa"/>
          </w:tblCellMar>
        </w:tblPrEx>
        <w:trPr>
          <w:trHeight w:val="1466" w:hRule="atLeast"/>
        </w:trPr>
        <w:tc>
          <w:tcPr>
            <w:tcW w:w="1218" w:type="dxa"/>
            <w:vAlign w:val="top"/>
          </w:tcPr>
          <w:p w14:paraId="2F7AF49D">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专业技能</w:t>
            </w:r>
          </w:p>
        </w:tc>
        <w:tc>
          <w:tcPr>
            <w:tcW w:w="2613" w:type="dxa"/>
            <w:vAlign w:val="top"/>
          </w:tcPr>
          <w:p w14:paraId="253FE2D3">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提升员工所在议题、岗位的专 业能力和经验水平，使员工胜 任岗位要求，并逐渐成长为某 议题领域的专家。</w:t>
            </w:r>
          </w:p>
        </w:tc>
        <w:tc>
          <w:tcPr>
            <w:tcW w:w="4026" w:type="dxa"/>
            <w:vAlign w:val="top"/>
          </w:tcPr>
          <w:p w14:paraId="7EC79BE9">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议题解读与分析；各议题/岗位专项知识技能，如</w:t>
            </w:r>
            <w:r>
              <w:rPr>
                <w:rFonts w:hint="eastAsia"/>
                <w:color w:val="auto"/>
                <w:sz w:val="24"/>
                <w:szCs w:val="24"/>
                <w:lang w:val="en-US" w:eastAsia="zh-CN"/>
              </w:rPr>
              <w:t>生态保护</w:t>
            </w:r>
            <w:r>
              <w:rPr>
                <w:rFonts w:hint="eastAsia"/>
                <w:color w:val="auto"/>
                <w:sz w:val="24"/>
                <w:szCs w:val="24"/>
                <w:lang w:val="en-US" w:eastAsia="en-US"/>
              </w:rPr>
              <w:t>、社区发展、企业 CSR、志愿者参与、 品牌、财务、人力资源、党建等。</w:t>
            </w:r>
          </w:p>
        </w:tc>
        <w:tc>
          <w:tcPr>
            <w:tcW w:w="1067" w:type="dxa"/>
            <w:vAlign w:val="top"/>
          </w:tcPr>
          <w:p w14:paraId="44654B3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color w:val="auto"/>
                <w:sz w:val="24"/>
                <w:szCs w:val="24"/>
                <w:lang w:val="en-US" w:eastAsia="en-US"/>
              </w:rPr>
            </w:pPr>
            <w:r>
              <w:rPr>
                <w:rFonts w:hint="eastAsia"/>
                <w:color w:val="auto"/>
                <w:sz w:val="24"/>
                <w:szCs w:val="24"/>
                <w:lang w:val="en-US" w:eastAsia="en-US"/>
              </w:rPr>
              <w:t>内部开发+ 外部供给</w:t>
            </w:r>
          </w:p>
        </w:tc>
      </w:tr>
    </w:tbl>
    <w:p w14:paraId="6B7FFA67">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p>
    <w:p w14:paraId="6859EAB3">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方式：每年组织一次全员参加的外部供给式培训，鼓励员工自选一个主题培训。内部开发课程可专门立项，由专人/小组认领，并可结合“月度集体进化会”做开发、迭代。</w:t>
      </w:r>
    </w:p>
    <w:p w14:paraId="0870703A">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p>
    <w:p w14:paraId="2367A6C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auto"/>
        <w:rPr>
          <w:rFonts w:hint="eastAsia" w:ascii="黑体" w:hAnsi="黑体" w:eastAsia="黑体" w:cs="黑体"/>
          <w:b w:val="0"/>
          <w:bCs w:val="0"/>
          <w:color w:val="auto"/>
          <w:kern w:val="0"/>
          <w:sz w:val="28"/>
          <w:szCs w:val="28"/>
          <w:lang w:val="en-US" w:eastAsia="zh-CN" w:bidi="ar"/>
        </w:rPr>
      </w:pPr>
      <w:r>
        <w:rPr>
          <w:rFonts w:hint="eastAsia" w:ascii="黑体" w:hAnsi="黑体" w:eastAsia="黑体" w:cs="黑体"/>
          <w:b w:val="0"/>
          <w:bCs w:val="0"/>
          <w:color w:val="auto"/>
          <w:kern w:val="0"/>
          <w:sz w:val="28"/>
          <w:szCs w:val="28"/>
          <w:lang w:val="en-US" w:eastAsia="zh-CN" w:bidi="ar"/>
        </w:rPr>
        <w:t xml:space="preserve">绩效管理与绩效考核 </w:t>
      </w:r>
    </w:p>
    <w:p w14:paraId="1D40C31A">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区分绩效管理与绩效考核： </w:t>
      </w:r>
    </w:p>
    <w:p w14:paraId="6D8ACB1E">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绩效管理的目的是提升个人、团队、组织的绩效水平。绩效考核只是绩效管 </w:t>
      </w:r>
    </w:p>
    <w:p w14:paraId="1D4476C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理过程中的一个关键节点，既不是绩效管理的目的也不是绩效管理最主要的内容。 </w:t>
      </w:r>
    </w:p>
    <w:p w14:paraId="12B03AA7">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上下级之间的目标设定及协同、指标的设定及选择、工作任务的分解及分配、工 </w:t>
      </w:r>
    </w:p>
    <w:p w14:paraId="1EF644E1">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作计划及调整、双向沟通反馈、人员能力的提升都是绩效管理的重要内容。本手 </w:t>
      </w:r>
    </w:p>
    <w:p w14:paraId="5732EB36">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册中的《个人工作计划发展计划制度》，以及其他内容均贡献于绩效的管理。此 </w:t>
      </w:r>
    </w:p>
    <w:p w14:paraId="12E81DDF">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部分只对绩效考核部分在原有操作方法上提出改进意见。 </w:t>
      </w:r>
    </w:p>
    <w:p w14:paraId="5EA86122">
      <w:pPr>
        <w:keepNext w:val="0"/>
        <w:keepLines w:val="0"/>
        <w:pageBreakBefore w:val="0"/>
        <w:widowControl w:val="0"/>
        <w:suppressLineNumbers w:val="0"/>
        <w:kinsoku/>
        <w:overflowPunct/>
        <w:autoSpaceDE/>
        <w:autoSpaceDN/>
        <w:bidi w:val="0"/>
        <w:adjustRightInd/>
        <w:snapToGrid/>
        <w:spacing w:line="360" w:lineRule="auto"/>
        <w:jc w:val="left"/>
        <w:textAlignment w:val="auto"/>
        <w:rPr>
          <w:color w:val="auto"/>
          <w:sz w:val="24"/>
          <w:szCs w:val="24"/>
        </w:rPr>
      </w:pPr>
      <w:r>
        <w:rPr>
          <w:rFonts w:hint="default" w:ascii="Wingdings" w:hAnsi="Wingdings" w:eastAsia="宋体" w:cs="Wingding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 xml:space="preserve">绩效考核办法 </w:t>
      </w:r>
    </w:p>
    <w:p w14:paraId="36BD474B">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由年底确定的考评人和被考评人，根据如下评估指标打分；并根据考核结果 请示上级，明确奖金发放、薪级调整等安排。 </w:t>
      </w:r>
    </w:p>
    <w:tbl>
      <w:tblPr>
        <w:tblStyle w:val="6"/>
        <w:tblW w:w="9233" w:type="dxa"/>
        <w:tblInd w:w="-383" w:type="dxa"/>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Layout w:type="fixed"/>
        <w:tblCellMar>
          <w:top w:w="0" w:type="dxa"/>
          <w:left w:w="0" w:type="dxa"/>
          <w:bottom w:w="0" w:type="dxa"/>
          <w:right w:w="0" w:type="dxa"/>
        </w:tblCellMar>
      </w:tblPr>
      <w:tblGrid>
        <w:gridCol w:w="1500"/>
        <w:gridCol w:w="6233"/>
        <w:gridCol w:w="733"/>
        <w:gridCol w:w="767"/>
      </w:tblGrid>
      <w:tr w14:paraId="6800A785">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7" w:hRule="atLeast"/>
        </w:trPr>
        <w:tc>
          <w:tcPr>
            <w:tcW w:w="1500" w:type="dxa"/>
            <w:shd w:val="clear" w:color="auto" w:fill="F9680D"/>
            <w:vAlign w:val="top"/>
          </w:tcPr>
          <w:p w14:paraId="385CFFCB">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评估指标</w:t>
            </w:r>
          </w:p>
        </w:tc>
        <w:tc>
          <w:tcPr>
            <w:tcW w:w="6233" w:type="dxa"/>
            <w:shd w:val="clear" w:color="auto" w:fill="F9680D"/>
            <w:vAlign w:val="top"/>
          </w:tcPr>
          <w:p w14:paraId="7B991EF7">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指标释义</w:t>
            </w:r>
          </w:p>
        </w:tc>
        <w:tc>
          <w:tcPr>
            <w:tcW w:w="733" w:type="dxa"/>
            <w:shd w:val="clear" w:color="auto" w:fill="F9680D"/>
            <w:vAlign w:val="top"/>
          </w:tcPr>
          <w:p w14:paraId="6C735FEB">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得分</w:t>
            </w:r>
          </w:p>
        </w:tc>
        <w:tc>
          <w:tcPr>
            <w:tcW w:w="767" w:type="dxa"/>
            <w:shd w:val="clear" w:color="auto" w:fill="F9680D"/>
            <w:vAlign w:val="top"/>
          </w:tcPr>
          <w:p w14:paraId="616A140B">
            <w:pPr>
              <w:pStyle w:val="7"/>
              <w:keepNext w:val="0"/>
              <w:keepLines w:val="0"/>
              <w:pageBreakBefore w:val="0"/>
              <w:widowControl w:val="0"/>
              <w:kinsoku/>
              <w:overflowPunct/>
              <w:autoSpaceDE/>
              <w:autoSpaceDN/>
              <w:bidi w:val="0"/>
              <w:adjustRightInd/>
              <w:snapToGrid/>
              <w:spacing w:before="212" w:line="228" w:lineRule="auto"/>
              <w:jc w:val="center"/>
              <w:textAlignment w:val="auto"/>
              <w:rPr>
                <w:rFonts w:hint="eastAsia" w:ascii="宋体" w:hAnsi="宋体" w:eastAsia="宋体" w:cs="宋体"/>
                <w:b/>
                <w:bCs/>
                <w:color w:val="auto"/>
                <w:kern w:val="0"/>
                <w:sz w:val="24"/>
                <w:szCs w:val="24"/>
                <w:lang w:val="en-US" w:eastAsia="en-US" w:bidi="ar"/>
              </w:rPr>
            </w:pPr>
            <w:r>
              <w:rPr>
                <w:rFonts w:hint="eastAsia" w:ascii="宋体" w:hAnsi="宋体" w:eastAsia="宋体" w:cs="宋体"/>
                <w:b/>
                <w:bCs/>
                <w:color w:val="auto"/>
                <w:kern w:val="0"/>
                <w:sz w:val="24"/>
                <w:szCs w:val="24"/>
                <w:lang w:val="en-US" w:eastAsia="en-US" w:bidi="ar"/>
              </w:rPr>
              <w:t>权重</w:t>
            </w:r>
          </w:p>
        </w:tc>
      </w:tr>
      <w:tr w14:paraId="2F934F0D">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2" w:hRule="atLeast"/>
        </w:trPr>
        <w:tc>
          <w:tcPr>
            <w:tcW w:w="1500" w:type="dxa"/>
            <w:vAlign w:val="top"/>
          </w:tcPr>
          <w:p w14:paraId="32980C27">
            <w:pPr>
              <w:pStyle w:val="7"/>
              <w:keepNext w:val="0"/>
              <w:keepLines w:val="0"/>
              <w:pageBreakBefore w:val="0"/>
              <w:widowControl w:val="0"/>
              <w:kinsoku/>
              <w:overflowPunct/>
              <w:autoSpaceDE/>
              <w:autoSpaceDN/>
              <w:bidi w:val="0"/>
              <w:adjustRightInd/>
              <w:snapToGrid/>
              <w:spacing w:before="183"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工作目标完成情况</w:t>
            </w:r>
          </w:p>
        </w:tc>
        <w:tc>
          <w:tcPr>
            <w:tcW w:w="6233" w:type="dxa"/>
            <w:vAlign w:val="top"/>
          </w:tcPr>
          <w:p w14:paraId="57A42C1E">
            <w:pPr>
              <w:pStyle w:val="7"/>
              <w:keepNext w:val="0"/>
              <w:keepLines w:val="0"/>
              <w:pageBreakBefore w:val="0"/>
              <w:widowControl w:val="0"/>
              <w:kinsoku/>
              <w:overflowPunct/>
              <w:autoSpaceDE/>
              <w:autoSpaceDN/>
              <w:bidi w:val="0"/>
              <w:adjustRightInd/>
              <w:snapToGrid/>
              <w:spacing w:before="63" w:line="231" w:lineRule="auto"/>
              <w:ind w:left="114" w:right="103" w:firstLine="6"/>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能够按照工作目标责任书或按照领导交待的工作任务计划在规定的时间内完成目标或计划。</w:t>
            </w:r>
          </w:p>
        </w:tc>
        <w:tc>
          <w:tcPr>
            <w:tcW w:w="733" w:type="dxa"/>
            <w:vAlign w:val="top"/>
          </w:tcPr>
          <w:p w14:paraId="3EA9037C">
            <w:pPr>
              <w:keepNext w:val="0"/>
              <w:keepLines w:val="0"/>
              <w:pageBreakBefore w:val="0"/>
              <w:widowControl w:val="0"/>
              <w:kinsoku/>
              <w:overflowPunct/>
              <w:autoSpaceDE/>
              <w:autoSpaceDN/>
              <w:bidi w:val="0"/>
              <w:adjustRightInd/>
              <w:snapToGrid/>
              <w:textAlignment w:val="auto"/>
              <w:rPr>
                <w:rFonts w:hint="eastAsia" w:asciiTheme="minorHAnsi" w:hAnsiTheme="minorHAnsi" w:eastAsiaTheme="minorEastAsia" w:cstheme="minorBidi"/>
                <w:color w:val="auto"/>
                <w:kern w:val="2"/>
                <w:sz w:val="24"/>
                <w:szCs w:val="24"/>
                <w:lang w:val="en-US" w:eastAsia="en-US" w:bidi="ar-SA"/>
              </w:rPr>
            </w:pPr>
          </w:p>
        </w:tc>
        <w:tc>
          <w:tcPr>
            <w:tcW w:w="767" w:type="dxa"/>
            <w:vAlign w:val="top"/>
          </w:tcPr>
          <w:p w14:paraId="2002C6E8">
            <w:pPr>
              <w:pStyle w:val="7"/>
              <w:keepNext w:val="0"/>
              <w:keepLines w:val="0"/>
              <w:pageBreakBefore w:val="0"/>
              <w:widowControl w:val="0"/>
              <w:kinsoku/>
              <w:overflowPunct/>
              <w:autoSpaceDE/>
              <w:autoSpaceDN/>
              <w:bidi w:val="0"/>
              <w:adjustRightInd/>
              <w:snapToGrid/>
              <w:spacing w:before="239" w:line="189" w:lineRule="auto"/>
              <w:ind w:left="116"/>
              <w:jc w:val="center"/>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20%</w:t>
            </w:r>
          </w:p>
        </w:tc>
      </w:tr>
      <w:tr w14:paraId="763D12B6">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2" w:hRule="atLeast"/>
        </w:trPr>
        <w:tc>
          <w:tcPr>
            <w:tcW w:w="1500" w:type="dxa"/>
            <w:vAlign w:val="top"/>
          </w:tcPr>
          <w:p w14:paraId="17221A13">
            <w:pPr>
              <w:pStyle w:val="7"/>
              <w:keepNext w:val="0"/>
              <w:keepLines w:val="0"/>
              <w:pageBreakBefore w:val="0"/>
              <w:widowControl w:val="0"/>
              <w:kinsoku/>
              <w:overflowPunct/>
              <w:autoSpaceDE/>
              <w:autoSpaceDN/>
              <w:bidi w:val="0"/>
              <w:adjustRightInd/>
              <w:snapToGrid/>
              <w:spacing w:before="185"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工作效率与完成质量</w:t>
            </w:r>
          </w:p>
        </w:tc>
        <w:tc>
          <w:tcPr>
            <w:tcW w:w="6233" w:type="dxa"/>
            <w:vAlign w:val="top"/>
          </w:tcPr>
          <w:p w14:paraId="568C77CD">
            <w:pPr>
              <w:pStyle w:val="7"/>
              <w:keepNext w:val="0"/>
              <w:keepLines w:val="0"/>
              <w:pageBreakBefore w:val="0"/>
              <w:widowControl w:val="0"/>
              <w:kinsoku/>
              <w:overflowPunct/>
              <w:autoSpaceDE/>
              <w:autoSpaceDN/>
              <w:bidi w:val="0"/>
              <w:adjustRightInd/>
              <w:snapToGrid/>
              <w:spacing w:before="64" w:line="231" w:lineRule="auto"/>
              <w:ind w:left="114" w:right="103" w:hanging="2"/>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根据工作量、工作重要性及完成时间，高效地完成工作任务，而且工作完成质量较高。</w:t>
            </w:r>
          </w:p>
        </w:tc>
        <w:tc>
          <w:tcPr>
            <w:tcW w:w="733" w:type="dxa"/>
            <w:vAlign w:val="top"/>
          </w:tcPr>
          <w:p w14:paraId="7D51CD11">
            <w:pPr>
              <w:keepNext w:val="0"/>
              <w:keepLines w:val="0"/>
              <w:pageBreakBefore w:val="0"/>
              <w:widowControl w:val="0"/>
              <w:kinsoku/>
              <w:overflowPunct/>
              <w:autoSpaceDE/>
              <w:autoSpaceDN/>
              <w:bidi w:val="0"/>
              <w:adjustRightInd/>
              <w:snapToGrid/>
              <w:textAlignment w:val="auto"/>
              <w:rPr>
                <w:rFonts w:hint="eastAsia" w:asciiTheme="minorHAnsi" w:hAnsiTheme="minorHAnsi" w:eastAsiaTheme="minorEastAsia" w:cstheme="minorBidi"/>
                <w:color w:val="auto"/>
                <w:kern w:val="2"/>
                <w:sz w:val="24"/>
                <w:szCs w:val="24"/>
                <w:lang w:val="en-US" w:eastAsia="en-US" w:bidi="ar-SA"/>
              </w:rPr>
            </w:pPr>
          </w:p>
        </w:tc>
        <w:tc>
          <w:tcPr>
            <w:tcW w:w="767" w:type="dxa"/>
            <w:vAlign w:val="top"/>
          </w:tcPr>
          <w:p w14:paraId="60E17DAD">
            <w:pPr>
              <w:pStyle w:val="7"/>
              <w:keepNext w:val="0"/>
              <w:keepLines w:val="0"/>
              <w:pageBreakBefore w:val="0"/>
              <w:widowControl w:val="0"/>
              <w:kinsoku/>
              <w:overflowPunct/>
              <w:autoSpaceDE/>
              <w:autoSpaceDN/>
              <w:bidi w:val="0"/>
              <w:adjustRightInd/>
              <w:snapToGrid/>
              <w:spacing w:before="239" w:line="190" w:lineRule="auto"/>
              <w:ind w:left="129"/>
              <w:jc w:val="center"/>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15%</w:t>
            </w:r>
          </w:p>
        </w:tc>
      </w:tr>
      <w:tr w14:paraId="33546C9F">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964" w:hRule="atLeast"/>
        </w:trPr>
        <w:tc>
          <w:tcPr>
            <w:tcW w:w="1500" w:type="dxa"/>
            <w:vAlign w:val="top"/>
          </w:tcPr>
          <w:p w14:paraId="29C5F353">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工作的改进与创新</w:t>
            </w:r>
          </w:p>
        </w:tc>
        <w:tc>
          <w:tcPr>
            <w:tcW w:w="6233" w:type="dxa"/>
            <w:vAlign w:val="top"/>
          </w:tcPr>
          <w:p w14:paraId="1B2399D4">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能够经常回顾和检查自己的工作，总结经验，及时修正、 适时调整工作程序与方法，并能立足于现实，采用独到的、合理的方式方法，改进工作并达到理想的成效与工作成果。</w:t>
            </w:r>
          </w:p>
        </w:tc>
        <w:tc>
          <w:tcPr>
            <w:tcW w:w="733" w:type="dxa"/>
            <w:vAlign w:val="top"/>
          </w:tcPr>
          <w:p w14:paraId="1BC8BF87">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p>
        </w:tc>
        <w:tc>
          <w:tcPr>
            <w:tcW w:w="767" w:type="dxa"/>
            <w:vAlign w:val="top"/>
          </w:tcPr>
          <w:p w14:paraId="3A4E6B96">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color w:val="auto"/>
                <w:kern w:val="2"/>
                <w:sz w:val="24"/>
                <w:szCs w:val="24"/>
                <w:lang w:val="en-US" w:eastAsia="en-US" w:bidi="ar-SA"/>
              </w:rPr>
            </w:pPr>
          </w:p>
          <w:p w14:paraId="63D422BA">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10%</w:t>
            </w:r>
          </w:p>
        </w:tc>
      </w:tr>
      <w:tr w14:paraId="508E06A3">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725" w:hRule="atLeast"/>
        </w:trPr>
        <w:tc>
          <w:tcPr>
            <w:tcW w:w="1500" w:type="dxa"/>
            <w:vAlign w:val="top"/>
          </w:tcPr>
          <w:p w14:paraId="7C445362">
            <w:pPr>
              <w:pStyle w:val="7"/>
              <w:keepNext w:val="0"/>
              <w:keepLines w:val="0"/>
              <w:pageBreakBefore w:val="0"/>
              <w:widowControl w:val="0"/>
              <w:kinsoku/>
              <w:overflowPunct/>
              <w:autoSpaceDE/>
              <w:autoSpaceDN/>
              <w:bidi w:val="0"/>
              <w:adjustRightInd/>
              <w:snapToGrid/>
              <w:spacing w:before="263" w:line="229"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专业技能与专业知识</w:t>
            </w:r>
          </w:p>
        </w:tc>
        <w:tc>
          <w:tcPr>
            <w:tcW w:w="6233" w:type="dxa"/>
            <w:vAlign w:val="top"/>
          </w:tcPr>
          <w:p w14:paraId="1700875A">
            <w:pPr>
              <w:pStyle w:val="7"/>
              <w:keepNext w:val="0"/>
              <w:keepLines w:val="0"/>
              <w:pageBreakBefore w:val="0"/>
              <w:widowControl w:val="0"/>
              <w:kinsoku/>
              <w:overflowPunct/>
              <w:autoSpaceDE/>
              <w:autoSpaceDN/>
              <w:bidi w:val="0"/>
              <w:adjustRightInd/>
              <w:snapToGrid/>
              <w:spacing w:before="23" w:line="224" w:lineRule="auto"/>
              <w:ind w:right="103"/>
              <w:jc w:val="both"/>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掌握本职工作所需要的专业知识并拥有一定的技朮、技巧和经验支持工作能够正常、顺利地开展起来。</w:t>
            </w:r>
          </w:p>
        </w:tc>
        <w:tc>
          <w:tcPr>
            <w:tcW w:w="733" w:type="dxa"/>
            <w:vAlign w:val="top"/>
          </w:tcPr>
          <w:p w14:paraId="05B3F058">
            <w:pPr>
              <w:keepNext w:val="0"/>
              <w:keepLines w:val="0"/>
              <w:pageBreakBefore w:val="0"/>
              <w:widowControl w:val="0"/>
              <w:kinsoku/>
              <w:overflowPunct/>
              <w:autoSpaceDE/>
              <w:autoSpaceDN/>
              <w:bidi w:val="0"/>
              <w:adjustRightInd/>
              <w:snapToGrid/>
              <w:textAlignment w:val="auto"/>
              <w:rPr>
                <w:rFonts w:hint="eastAsia" w:asciiTheme="minorHAnsi" w:hAnsiTheme="minorHAnsi" w:eastAsiaTheme="minorEastAsia" w:cstheme="minorBidi"/>
                <w:color w:val="auto"/>
                <w:kern w:val="2"/>
                <w:sz w:val="24"/>
                <w:szCs w:val="24"/>
                <w:lang w:val="en-US" w:eastAsia="en-US" w:bidi="ar-SA"/>
              </w:rPr>
            </w:pPr>
          </w:p>
        </w:tc>
        <w:tc>
          <w:tcPr>
            <w:tcW w:w="767" w:type="dxa"/>
            <w:vAlign w:val="top"/>
          </w:tcPr>
          <w:p w14:paraId="3E390F2A">
            <w:pPr>
              <w:keepNext w:val="0"/>
              <w:keepLines w:val="0"/>
              <w:pageBreakBefore w:val="0"/>
              <w:widowControl w:val="0"/>
              <w:kinsoku/>
              <w:overflowPunct/>
              <w:autoSpaceDE/>
              <w:autoSpaceDN/>
              <w:bidi w:val="0"/>
              <w:adjustRightInd/>
              <w:snapToGrid/>
              <w:spacing w:line="255" w:lineRule="auto"/>
              <w:jc w:val="center"/>
              <w:textAlignment w:val="auto"/>
              <w:rPr>
                <w:rFonts w:hint="eastAsia" w:asciiTheme="minorHAnsi" w:hAnsiTheme="minorHAnsi" w:eastAsiaTheme="minorEastAsia" w:cstheme="minorBidi"/>
                <w:color w:val="auto"/>
                <w:kern w:val="2"/>
                <w:sz w:val="24"/>
                <w:szCs w:val="24"/>
                <w:lang w:val="en-US" w:eastAsia="en-US" w:bidi="ar-SA"/>
              </w:rPr>
            </w:pPr>
          </w:p>
          <w:p w14:paraId="1818FD36">
            <w:pPr>
              <w:pStyle w:val="7"/>
              <w:keepNext w:val="0"/>
              <w:keepLines w:val="0"/>
              <w:pageBreakBefore w:val="0"/>
              <w:widowControl w:val="0"/>
              <w:kinsoku/>
              <w:overflowPunct/>
              <w:autoSpaceDE/>
              <w:autoSpaceDN/>
              <w:bidi w:val="0"/>
              <w:adjustRightInd/>
              <w:snapToGrid/>
              <w:spacing w:before="61" w:line="190" w:lineRule="auto"/>
              <w:ind w:left="129"/>
              <w:jc w:val="center"/>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10%</w:t>
            </w:r>
          </w:p>
        </w:tc>
      </w:tr>
      <w:tr w14:paraId="14A37763">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964" w:hRule="atLeast"/>
        </w:trPr>
        <w:tc>
          <w:tcPr>
            <w:tcW w:w="1500" w:type="dxa"/>
            <w:vAlign w:val="top"/>
          </w:tcPr>
          <w:p w14:paraId="689157A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理解、分析与判断能力</w:t>
            </w:r>
          </w:p>
        </w:tc>
        <w:tc>
          <w:tcPr>
            <w:tcW w:w="6233" w:type="dxa"/>
            <w:vAlign w:val="top"/>
          </w:tcPr>
          <w:p w14:paraId="6A72EAAF">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能够采取有效的方法完成工作任务和安排工作。分析问题系统、全面、逻辑性强，并能通过复杂的表面现象, 借用系统的分析手段, 发现问题的实质, 并对事件做出正确的前瞻性判断。</w:t>
            </w:r>
          </w:p>
        </w:tc>
        <w:tc>
          <w:tcPr>
            <w:tcW w:w="733" w:type="dxa"/>
            <w:vAlign w:val="top"/>
          </w:tcPr>
          <w:p w14:paraId="0DF6B5BB">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p>
        </w:tc>
        <w:tc>
          <w:tcPr>
            <w:tcW w:w="767" w:type="dxa"/>
            <w:vAlign w:val="top"/>
          </w:tcPr>
          <w:p w14:paraId="52CC5161">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color w:val="auto"/>
                <w:kern w:val="2"/>
                <w:sz w:val="24"/>
                <w:szCs w:val="24"/>
                <w:lang w:val="en-US" w:eastAsia="en-US" w:bidi="ar-SA"/>
              </w:rPr>
            </w:pPr>
          </w:p>
          <w:p w14:paraId="2B1F9280">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5%</w:t>
            </w:r>
          </w:p>
        </w:tc>
      </w:tr>
      <w:tr w14:paraId="5ABD3717">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964" w:hRule="atLeast"/>
        </w:trPr>
        <w:tc>
          <w:tcPr>
            <w:tcW w:w="1500" w:type="dxa"/>
            <w:vAlign w:val="top"/>
          </w:tcPr>
          <w:p w14:paraId="273A1BDB">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学习精神与进取心</w:t>
            </w:r>
          </w:p>
        </w:tc>
        <w:tc>
          <w:tcPr>
            <w:tcW w:w="6233" w:type="dxa"/>
            <w:vAlign w:val="top"/>
          </w:tcPr>
          <w:p w14:paraId="428FB230">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根据工作需要，能不断学习新的知识，掌握新的技能与应用工具，并将新知识和新技能应用于工作实践当中，其进取精神不但能使自已得到长足的发展，还能在集体中形成表率作用。</w:t>
            </w:r>
          </w:p>
        </w:tc>
        <w:tc>
          <w:tcPr>
            <w:tcW w:w="733" w:type="dxa"/>
            <w:vAlign w:val="top"/>
          </w:tcPr>
          <w:p w14:paraId="3B36EBA8">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p>
        </w:tc>
        <w:tc>
          <w:tcPr>
            <w:tcW w:w="767" w:type="dxa"/>
            <w:vAlign w:val="top"/>
          </w:tcPr>
          <w:p w14:paraId="4FBC601B">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color w:val="auto"/>
                <w:kern w:val="2"/>
                <w:sz w:val="24"/>
                <w:szCs w:val="24"/>
                <w:lang w:val="en-US" w:eastAsia="en-US" w:bidi="ar-SA"/>
              </w:rPr>
            </w:pPr>
          </w:p>
          <w:p w14:paraId="3B0DB0F4">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5%</w:t>
            </w:r>
          </w:p>
        </w:tc>
      </w:tr>
      <w:tr w14:paraId="5E52C8A1">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964" w:hRule="atLeast"/>
        </w:trPr>
        <w:tc>
          <w:tcPr>
            <w:tcW w:w="1500" w:type="dxa"/>
            <w:vAlign w:val="top"/>
          </w:tcPr>
          <w:p w14:paraId="21CB7034">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工作安排的合理计划</w:t>
            </w:r>
          </w:p>
        </w:tc>
        <w:tc>
          <w:tcPr>
            <w:tcW w:w="6233" w:type="dxa"/>
            <w:vAlign w:val="top"/>
          </w:tcPr>
          <w:p w14:paraId="53E8D638">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制定和提出切实可行的计划与方案，能够合理安排工作，工作有秩序、有条理，工作态度严谨，实事求是，思考周密，工作中很少发现因计划阶段的不严密性所带来的工作失误。</w:t>
            </w:r>
          </w:p>
        </w:tc>
        <w:tc>
          <w:tcPr>
            <w:tcW w:w="733" w:type="dxa"/>
            <w:vAlign w:val="top"/>
          </w:tcPr>
          <w:p w14:paraId="70630149">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p>
        </w:tc>
        <w:tc>
          <w:tcPr>
            <w:tcW w:w="767" w:type="dxa"/>
            <w:vAlign w:val="top"/>
          </w:tcPr>
          <w:p w14:paraId="23E75C85">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color w:val="auto"/>
                <w:kern w:val="2"/>
                <w:sz w:val="24"/>
                <w:szCs w:val="24"/>
                <w:lang w:val="en-US" w:eastAsia="en-US" w:bidi="ar-SA"/>
              </w:rPr>
            </w:pPr>
          </w:p>
          <w:p w14:paraId="43AB1769">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10%</w:t>
            </w:r>
          </w:p>
        </w:tc>
      </w:tr>
      <w:tr w14:paraId="271ADED0">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725" w:hRule="atLeast"/>
        </w:trPr>
        <w:tc>
          <w:tcPr>
            <w:tcW w:w="1500" w:type="dxa"/>
            <w:vAlign w:val="top"/>
          </w:tcPr>
          <w:p w14:paraId="78B2932A">
            <w:pPr>
              <w:pStyle w:val="7"/>
              <w:keepNext w:val="0"/>
              <w:keepLines w:val="0"/>
              <w:pageBreakBefore w:val="0"/>
              <w:widowControl w:val="0"/>
              <w:kinsoku/>
              <w:overflowPunct/>
              <w:autoSpaceDE/>
              <w:autoSpaceDN/>
              <w:bidi w:val="0"/>
              <w:adjustRightInd/>
              <w:snapToGrid/>
              <w:spacing w:before="265"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团队合作精神</w:t>
            </w:r>
          </w:p>
        </w:tc>
        <w:tc>
          <w:tcPr>
            <w:tcW w:w="6233" w:type="dxa"/>
            <w:vAlign w:val="top"/>
          </w:tcPr>
          <w:p w14:paraId="4B9C8F88">
            <w:pPr>
              <w:pStyle w:val="7"/>
              <w:keepNext w:val="0"/>
              <w:keepLines w:val="0"/>
              <w:pageBreakBefore w:val="0"/>
              <w:widowControl w:val="0"/>
              <w:kinsoku/>
              <w:overflowPunct/>
              <w:autoSpaceDE/>
              <w:autoSpaceDN/>
              <w:bidi w:val="0"/>
              <w:adjustRightInd/>
              <w:snapToGrid/>
              <w:spacing w:before="26" w:line="223" w:lineRule="auto"/>
              <w:ind w:left="120" w:right="103"/>
              <w:jc w:val="both"/>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能够自觉地认识自身的地位和作用，积极维持团队 的协作精神，并能够很好的与他人分享信息与业务 资源，尽力支持组织发展。</w:t>
            </w:r>
          </w:p>
        </w:tc>
        <w:tc>
          <w:tcPr>
            <w:tcW w:w="733" w:type="dxa"/>
            <w:vAlign w:val="top"/>
          </w:tcPr>
          <w:p w14:paraId="43A480EE">
            <w:pPr>
              <w:keepNext w:val="0"/>
              <w:keepLines w:val="0"/>
              <w:pageBreakBefore w:val="0"/>
              <w:widowControl w:val="0"/>
              <w:kinsoku/>
              <w:overflowPunct/>
              <w:autoSpaceDE/>
              <w:autoSpaceDN/>
              <w:bidi w:val="0"/>
              <w:adjustRightInd/>
              <w:snapToGrid/>
              <w:textAlignment w:val="auto"/>
              <w:rPr>
                <w:rFonts w:hint="eastAsia" w:asciiTheme="minorHAnsi" w:hAnsiTheme="minorHAnsi" w:eastAsiaTheme="minorEastAsia" w:cstheme="minorBidi"/>
                <w:color w:val="auto"/>
                <w:kern w:val="2"/>
                <w:sz w:val="24"/>
                <w:szCs w:val="24"/>
                <w:lang w:val="en-US" w:eastAsia="en-US" w:bidi="ar-SA"/>
              </w:rPr>
            </w:pPr>
          </w:p>
        </w:tc>
        <w:tc>
          <w:tcPr>
            <w:tcW w:w="767" w:type="dxa"/>
            <w:vAlign w:val="top"/>
          </w:tcPr>
          <w:p w14:paraId="343B347E">
            <w:pPr>
              <w:keepNext w:val="0"/>
              <w:keepLines w:val="0"/>
              <w:pageBreakBefore w:val="0"/>
              <w:widowControl w:val="0"/>
              <w:kinsoku/>
              <w:overflowPunct/>
              <w:autoSpaceDE/>
              <w:autoSpaceDN/>
              <w:bidi w:val="0"/>
              <w:adjustRightInd/>
              <w:snapToGrid/>
              <w:spacing w:line="256" w:lineRule="auto"/>
              <w:jc w:val="center"/>
              <w:textAlignment w:val="auto"/>
              <w:rPr>
                <w:rFonts w:hint="eastAsia" w:asciiTheme="minorHAnsi" w:hAnsiTheme="minorHAnsi" w:eastAsiaTheme="minorEastAsia" w:cstheme="minorBidi"/>
                <w:color w:val="auto"/>
                <w:kern w:val="2"/>
                <w:sz w:val="24"/>
                <w:szCs w:val="24"/>
                <w:lang w:val="en-US" w:eastAsia="en-US" w:bidi="ar-SA"/>
              </w:rPr>
            </w:pPr>
          </w:p>
          <w:p w14:paraId="56D66A54">
            <w:pPr>
              <w:pStyle w:val="7"/>
              <w:keepNext w:val="0"/>
              <w:keepLines w:val="0"/>
              <w:pageBreakBefore w:val="0"/>
              <w:widowControl w:val="0"/>
              <w:kinsoku/>
              <w:overflowPunct/>
              <w:autoSpaceDE/>
              <w:autoSpaceDN/>
              <w:bidi w:val="0"/>
              <w:adjustRightInd/>
              <w:snapToGrid/>
              <w:spacing w:before="62" w:line="190" w:lineRule="auto"/>
              <w:ind w:left="129"/>
              <w:jc w:val="center"/>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10%</w:t>
            </w:r>
          </w:p>
        </w:tc>
      </w:tr>
      <w:tr w14:paraId="743B0146">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964" w:hRule="atLeast"/>
        </w:trPr>
        <w:tc>
          <w:tcPr>
            <w:tcW w:w="1500" w:type="dxa"/>
            <w:vAlign w:val="top"/>
          </w:tcPr>
          <w:p w14:paraId="13C24C1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责任感与积极性</w:t>
            </w:r>
          </w:p>
        </w:tc>
        <w:tc>
          <w:tcPr>
            <w:tcW w:w="6233" w:type="dxa"/>
            <w:vAlign w:val="top"/>
          </w:tcPr>
          <w:p w14:paraId="2B273479">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拥有理想与实现理想的动力，有一定的追求。对工作有责任感，能够根据业务需要，投入时间与精力，对工作任务不推脱、不拖拉，能够积极主动的完成 工作任务。</w:t>
            </w:r>
          </w:p>
        </w:tc>
        <w:tc>
          <w:tcPr>
            <w:tcW w:w="733" w:type="dxa"/>
            <w:vAlign w:val="top"/>
          </w:tcPr>
          <w:p w14:paraId="1C6A738D">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p>
        </w:tc>
        <w:tc>
          <w:tcPr>
            <w:tcW w:w="767" w:type="dxa"/>
            <w:vAlign w:val="top"/>
          </w:tcPr>
          <w:p w14:paraId="1BE3BF8B">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color w:val="auto"/>
                <w:kern w:val="2"/>
                <w:sz w:val="24"/>
                <w:szCs w:val="24"/>
                <w:lang w:val="en-US" w:eastAsia="en-US" w:bidi="ar-SA"/>
              </w:rPr>
            </w:pPr>
          </w:p>
          <w:p w14:paraId="30625154">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10%</w:t>
            </w:r>
          </w:p>
        </w:tc>
      </w:tr>
      <w:tr w14:paraId="1B36D4BC">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6" w:hRule="atLeast"/>
        </w:trPr>
        <w:tc>
          <w:tcPr>
            <w:tcW w:w="1500" w:type="dxa"/>
            <w:vAlign w:val="top"/>
          </w:tcPr>
          <w:p w14:paraId="2F888251">
            <w:pPr>
              <w:pStyle w:val="7"/>
              <w:keepNext w:val="0"/>
              <w:keepLines w:val="0"/>
              <w:pageBreakBefore w:val="0"/>
              <w:widowControl w:val="0"/>
              <w:kinsoku/>
              <w:overflowPunct/>
              <w:autoSpaceDE/>
              <w:autoSpaceDN/>
              <w:bidi w:val="0"/>
              <w:adjustRightInd/>
              <w:snapToGrid/>
              <w:spacing w:before="188"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纪律性</w:t>
            </w:r>
          </w:p>
        </w:tc>
        <w:tc>
          <w:tcPr>
            <w:tcW w:w="6233" w:type="dxa"/>
            <w:vAlign w:val="top"/>
          </w:tcPr>
          <w:p w14:paraId="0064928E">
            <w:pPr>
              <w:pStyle w:val="7"/>
              <w:keepNext w:val="0"/>
              <w:keepLines w:val="0"/>
              <w:pageBreakBefore w:val="0"/>
              <w:widowControl w:val="0"/>
              <w:kinsoku/>
              <w:overflowPunct/>
              <w:autoSpaceDE/>
              <w:autoSpaceDN/>
              <w:bidi w:val="0"/>
              <w:adjustRightInd/>
              <w:snapToGrid/>
              <w:spacing w:before="69" w:line="230" w:lineRule="auto"/>
              <w:ind w:left="118" w:right="103" w:firstLine="2"/>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能够严格要求自已，遵守公司各种规章制度，无迟 到、早退和无故缺勤的情况。</w:t>
            </w:r>
          </w:p>
        </w:tc>
        <w:tc>
          <w:tcPr>
            <w:tcW w:w="733" w:type="dxa"/>
            <w:vAlign w:val="top"/>
          </w:tcPr>
          <w:p w14:paraId="2428E843">
            <w:pPr>
              <w:keepNext w:val="0"/>
              <w:keepLines w:val="0"/>
              <w:pageBreakBefore w:val="0"/>
              <w:widowControl w:val="0"/>
              <w:kinsoku/>
              <w:overflowPunct/>
              <w:autoSpaceDE/>
              <w:autoSpaceDN/>
              <w:bidi w:val="0"/>
              <w:adjustRightInd/>
              <w:snapToGrid/>
              <w:textAlignment w:val="auto"/>
              <w:rPr>
                <w:rFonts w:hint="eastAsia" w:asciiTheme="minorHAnsi" w:hAnsiTheme="minorHAnsi" w:eastAsiaTheme="minorEastAsia" w:cstheme="minorBidi"/>
                <w:color w:val="auto"/>
                <w:kern w:val="2"/>
                <w:sz w:val="24"/>
                <w:szCs w:val="24"/>
                <w:lang w:val="en-US" w:eastAsia="en-US" w:bidi="ar-SA"/>
              </w:rPr>
            </w:pPr>
          </w:p>
        </w:tc>
        <w:tc>
          <w:tcPr>
            <w:tcW w:w="767" w:type="dxa"/>
            <w:vAlign w:val="top"/>
          </w:tcPr>
          <w:p w14:paraId="271C8A7D">
            <w:pPr>
              <w:pStyle w:val="7"/>
              <w:keepNext w:val="0"/>
              <w:keepLines w:val="0"/>
              <w:pageBreakBefore w:val="0"/>
              <w:widowControl w:val="0"/>
              <w:kinsoku/>
              <w:overflowPunct/>
              <w:autoSpaceDE/>
              <w:autoSpaceDN/>
              <w:bidi w:val="0"/>
              <w:adjustRightInd/>
              <w:snapToGrid/>
              <w:spacing w:before="244" w:line="189" w:lineRule="auto"/>
              <w:ind w:left="118"/>
              <w:jc w:val="center"/>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5%</w:t>
            </w:r>
          </w:p>
        </w:tc>
      </w:tr>
    </w:tbl>
    <w:p w14:paraId="410D7863">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p>
    <w:p w14:paraId="4D94C46F">
      <w:pPr>
        <w:keepNext w:val="0"/>
        <w:keepLines w:val="0"/>
        <w:pageBreakBefore w:val="0"/>
        <w:widowControl w:val="0"/>
        <w:kinsoku/>
        <w:overflowPunct/>
        <w:autoSpaceDE/>
        <w:autoSpaceDN/>
        <w:bidi w:val="0"/>
        <w:adjustRightInd/>
        <w:snapToGrid/>
        <w:spacing w:before="78" w:line="219" w:lineRule="auto"/>
        <w:ind w:left="126"/>
        <w:jc w:val="center"/>
        <w:textAlignment w:val="auto"/>
        <w:rPr>
          <w:rFonts w:ascii="宋体" w:hAnsi="宋体" w:eastAsia="宋体" w:cs="宋体"/>
          <w:color w:val="auto"/>
          <w:sz w:val="24"/>
          <w:szCs w:val="24"/>
        </w:rPr>
      </w:pPr>
      <w:r>
        <w:rPr>
          <w:rFonts w:ascii="宋体" w:hAnsi="宋体" w:eastAsia="宋体" w:cs="宋体"/>
          <w:color w:val="auto"/>
          <w:spacing w:val="-1"/>
          <w:sz w:val="24"/>
          <w:szCs w:val="24"/>
        </w:rPr>
        <w:t>绩效评分等级：分为四级，采取百分制，分别是</w:t>
      </w:r>
    </w:p>
    <w:p w14:paraId="0FE16E23">
      <w:pPr>
        <w:keepNext w:val="0"/>
        <w:keepLines w:val="0"/>
        <w:pageBreakBefore w:val="0"/>
        <w:widowControl w:val="0"/>
        <w:kinsoku/>
        <w:overflowPunct/>
        <w:autoSpaceDE/>
        <w:autoSpaceDN/>
        <w:bidi w:val="0"/>
        <w:adjustRightInd/>
        <w:snapToGrid/>
        <w:spacing w:line="148" w:lineRule="exact"/>
        <w:textAlignment w:val="auto"/>
        <w:rPr>
          <w:color w:val="auto"/>
        </w:rPr>
      </w:pPr>
    </w:p>
    <w:tbl>
      <w:tblPr>
        <w:tblStyle w:val="6"/>
        <w:tblW w:w="9200" w:type="dxa"/>
        <w:tblInd w:w="-361" w:type="dxa"/>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Layout w:type="fixed"/>
        <w:tblCellMar>
          <w:top w:w="0" w:type="dxa"/>
          <w:left w:w="0" w:type="dxa"/>
          <w:bottom w:w="0" w:type="dxa"/>
          <w:right w:w="0" w:type="dxa"/>
        </w:tblCellMar>
      </w:tblPr>
      <w:tblGrid>
        <w:gridCol w:w="4728"/>
        <w:gridCol w:w="4472"/>
      </w:tblGrid>
      <w:tr w14:paraId="4CB49104">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5" w:hRule="atLeast"/>
        </w:trPr>
        <w:tc>
          <w:tcPr>
            <w:tcW w:w="4728" w:type="dxa"/>
            <w:vAlign w:val="top"/>
          </w:tcPr>
          <w:p w14:paraId="659A25EB">
            <w:pPr>
              <w:pStyle w:val="7"/>
              <w:keepNext w:val="0"/>
              <w:keepLines w:val="0"/>
              <w:pageBreakBefore w:val="0"/>
              <w:widowControl w:val="0"/>
              <w:kinsoku/>
              <w:overflowPunct/>
              <w:autoSpaceDE/>
              <w:autoSpaceDN/>
              <w:bidi w:val="0"/>
              <w:adjustRightInd/>
              <w:snapToGrid/>
              <w:spacing w:before="213" w:line="231" w:lineRule="auto"/>
              <w:ind w:left="116"/>
              <w:jc w:val="center"/>
              <w:textAlignment w:val="auto"/>
              <w:rPr>
                <w:color w:val="auto"/>
                <w:sz w:val="24"/>
                <w:szCs w:val="24"/>
              </w:rPr>
            </w:pPr>
            <w:r>
              <w:rPr>
                <w:color w:val="auto"/>
                <w:spacing w:val="-3"/>
                <w:sz w:val="24"/>
                <w:szCs w:val="24"/>
              </w:rPr>
              <w:t>90</w:t>
            </w:r>
            <w:r>
              <w:rPr>
                <w:color w:val="auto"/>
                <w:spacing w:val="38"/>
                <w:sz w:val="24"/>
                <w:szCs w:val="24"/>
              </w:rPr>
              <w:t xml:space="preserve"> </w:t>
            </w:r>
            <w:r>
              <w:rPr>
                <w:color w:val="auto"/>
                <w:spacing w:val="-3"/>
                <w:sz w:val="24"/>
                <w:szCs w:val="24"/>
              </w:rPr>
              <w:t>以上：</w:t>
            </w:r>
          </w:p>
        </w:tc>
        <w:tc>
          <w:tcPr>
            <w:tcW w:w="4472" w:type="dxa"/>
            <w:vAlign w:val="top"/>
          </w:tcPr>
          <w:p w14:paraId="779010A3">
            <w:pPr>
              <w:pStyle w:val="7"/>
              <w:keepNext w:val="0"/>
              <w:keepLines w:val="0"/>
              <w:pageBreakBefore w:val="0"/>
              <w:widowControl w:val="0"/>
              <w:kinsoku/>
              <w:overflowPunct/>
              <w:autoSpaceDE/>
              <w:autoSpaceDN/>
              <w:bidi w:val="0"/>
              <w:adjustRightInd/>
              <w:snapToGrid/>
              <w:spacing w:before="213" w:line="228" w:lineRule="auto"/>
              <w:ind w:left="113"/>
              <w:jc w:val="center"/>
              <w:textAlignment w:val="auto"/>
              <w:rPr>
                <w:color w:val="auto"/>
                <w:sz w:val="24"/>
                <w:szCs w:val="24"/>
              </w:rPr>
            </w:pPr>
            <w:r>
              <w:rPr>
                <w:color w:val="auto"/>
                <w:spacing w:val="5"/>
                <w:sz w:val="24"/>
                <w:szCs w:val="24"/>
              </w:rPr>
              <w:t>优秀</w:t>
            </w:r>
          </w:p>
        </w:tc>
      </w:tr>
      <w:tr w14:paraId="0189189A">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1" w:hRule="atLeast"/>
        </w:trPr>
        <w:tc>
          <w:tcPr>
            <w:tcW w:w="4728" w:type="dxa"/>
            <w:vAlign w:val="top"/>
          </w:tcPr>
          <w:p w14:paraId="048CB6DF">
            <w:pPr>
              <w:pStyle w:val="7"/>
              <w:keepNext w:val="0"/>
              <w:keepLines w:val="0"/>
              <w:pageBreakBefore w:val="0"/>
              <w:widowControl w:val="0"/>
              <w:kinsoku/>
              <w:overflowPunct/>
              <w:autoSpaceDE/>
              <w:autoSpaceDN/>
              <w:bidi w:val="0"/>
              <w:adjustRightInd/>
              <w:snapToGrid/>
              <w:spacing w:before="209" w:line="251" w:lineRule="exact"/>
              <w:ind w:left="116"/>
              <w:jc w:val="center"/>
              <w:textAlignment w:val="auto"/>
              <w:rPr>
                <w:color w:val="auto"/>
                <w:sz w:val="24"/>
                <w:szCs w:val="24"/>
              </w:rPr>
            </w:pPr>
            <w:r>
              <w:rPr>
                <w:color w:val="auto"/>
                <w:position w:val="1"/>
                <w:sz w:val="24"/>
                <w:szCs w:val="24"/>
              </w:rPr>
              <w:t>85</w:t>
            </w:r>
            <w:r>
              <w:rPr>
                <w:color w:val="auto"/>
                <w:spacing w:val="11"/>
                <w:position w:val="1"/>
                <w:sz w:val="24"/>
                <w:szCs w:val="24"/>
              </w:rPr>
              <w:t xml:space="preserve"> </w:t>
            </w:r>
            <w:r>
              <w:rPr>
                <w:color w:val="auto"/>
                <w:position w:val="1"/>
                <w:sz w:val="24"/>
                <w:szCs w:val="24"/>
              </w:rPr>
              <w:t>-</w:t>
            </w:r>
            <w:r>
              <w:rPr>
                <w:color w:val="auto"/>
                <w:spacing w:val="13"/>
                <w:position w:val="1"/>
                <w:sz w:val="24"/>
                <w:szCs w:val="24"/>
              </w:rPr>
              <w:t xml:space="preserve"> </w:t>
            </w:r>
            <w:r>
              <w:rPr>
                <w:color w:val="auto"/>
                <w:position w:val="1"/>
                <w:sz w:val="24"/>
                <w:szCs w:val="24"/>
              </w:rPr>
              <w:t>90：</w:t>
            </w:r>
          </w:p>
        </w:tc>
        <w:tc>
          <w:tcPr>
            <w:tcW w:w="4472" w:type="dxa"/>
            <w:vAlign w:val="top"/>
          </w:tcPr>
          <w:p w14:paraId="45294419">
            <w:pPr>
              <w:pStyle w:val="7"/>
              <w:keepNext w:val="0"/>
              <w:keepLines w:val="0"/>
              <w:pageBreakBefore w:val="0"/>
              <w:widowControl w:val="0"/>
              <w:kinsoku/>
              <w:overflowPunct/>
              <w:autoSpaceDE/>
              <w:autoSpaceDN/>
              <w:bidi w:val="0"/>
              <w:adjustRightInd/>
              <w:snapToGrid/>
              <w:spacing w:before="209" w:line="228" w:lineRule="auto"/>
              <w:ind w:left="146"/>
              <w:jc w:val="center"/>
              <w:textAlignment w:val="auto"/>
              <w:rPr>
                <w:color w:val="auto"/>
                <w:sz w:val="24"/>
                <w:szCs w:val="24"/>
              </w:rPr>
            </w:pPr>
            <w:r>
              <w:rPr>
                <w:color w:val="auto"/>
                <w:spacing w:val="-11"/>
                <w:sz w:val="24"/>
                <w:szCs w:val="24"/>
              </w:rPr>
              <w:t>良好</w:t>
            </w:r>
          </w:p>
        </w:tc>
      </w:tr>
      <w:tr w14:paraId="34E1EEF4">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1" w:hRule="atLeast"/>
        </w:trPr>
        <w:tc>
          <w:tcPr>
            <w:tcW w:w="4728" w:type="dxa"/>
            <w:vAlign w:val="top"/>
          </w:tcPr>
          <w:p w14:paraId="2FCF1C15">
            <w:pPr>
              <w:pStyle w:val="7"/>
              <w:keepNext w:val="0"/>
              <w:keepLines w:val="0"/>
              <w:pageBreakBefore w:val="0"/>
              <w:widowControl w:val="0"/>
              <w:kinsoku/>
              <w:overflowPunct/>
              <w:autoSpaceDE/>
              <w:autoSpaceDN/>
              <w:bidi w:val="0"/>
              <w:adjustRightInd/>
              <w:snapToGrid/>
              <w:spacing w:before="212" w:line="251" w:lineRule="exact"/>
              <w:ind w:left="116"/>
              <w:jc w:val="center"/>
              <w:textAlignment w:val="auto"/>
              <w:rPr>
                <w:color w:val="auto"/>
                <w:sz w:val="24"/>
                <w:szCs w:val="24"/>
              </w:rPr>
            </w:pPr>
            <w:r>
              <w:rPr>
                <w:color w:val="auto"/>
                <w:position w:val="1"/>
                <w:sz w:val="24"/>
                <w:szCs w:val="24"/>
              </w:rPr>
              <w:t>80</w:t>
            </w:r>
            <w:r>
              <w:rPr>
                <w:color w:val="auto"/>
                <w:spacing w:val="11"/>
                <w:position w:val="1"/>
                <w:sz w:val="24"/>
                <w:szCs w:val="24"/>
              </w:rPr>
              <w:t xml:space="preserve"> </w:t>
            </w:r>
            <w:r>
              <w:rPr>
                <w:color w:val="auto"/>
                <w:position w:val="1"/>
                <w:sz w:val="24"/>
                <w:szCs w:val="24"/>
              </w:rPr>
              <w:t>-</w:t>
            </w:r>
            <w:r>
              <w:rPr>
                <w:color w:val="auto"/>
                <w:spacing w:val="13"/>
                <w:position w:val="1"/>
                <w:sz w:val="24"/>
                <w:szCs w:val="24"/>
              </w:rPr>
              <w:t xml:space="preserve"> </w:t>
            </w:r>
            <w:r>
              <w:rPr>
                <w:color w:val="auto"/>
                <w:position w:val="1"/>
                <w:sz w:val="24"/>
                <w:szCs w:val="24"/>
              </w:rPr>
              <w:t>85：</w:t>
            </w:r>
          </w:p>
        </w:tc>
        <w:tc>
          <w:tcPr>
            <w:tcW w:w="4472" w:type="dxa"/>
            <w:vAlign w:val="top"/>
          </w:tcPr>
          <w:p w14:paraId="536528C5">
            <w:pPr>
              <w:pStyle w:val="7"/>
              <w:keepNext w:val="0"/>
              <w:keepLines w:val="0"/>
              <w:pageBreakBefore w:val="0"/>
              <w:widowControl w:val="0"/>
              <w:kinsoku/>
              <w:overflowPunct/>
              <w:autoSpaceDE/>
              <w:autoSpaceDN/>
              <w:bidi w:val="0"/>
              <w:adjustRightInd/>
              <w:snapToGrid/>
              <w:spacing w:before="212" w:line="228" w:lineRule="auto"/>
              <w:ind w:left="115"/>
              <w:jc w:val="center"/>
              <w:textAlignment w:val="auto"/>
              <w:rPr>
                <w:color w:val="auto"/>
                <w:sz w:val="24"/>
                <w:szCs w:val="24"/>
              </w:rPr>
            </w:pPr>
            <w:r>
              <w:rPr>
                <w:color w:val="auto"/>
                <w:spacing w:val="4"/>
                <w:sz w:val="24"/>
                <w:szCs w:val="24"/>
              </w:rPr>
              <w:t>合格</w:t>
            </w:r>
          </w:p>
        </w:tc>
      </w:tr>
      <w:tr w14:paraId="1327EB95">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5" w:hRule="atLeast"/>
        </w:trPr>
        <w:tc>
          <w:tcPr>
            <w:tcW w:w="4728" w:type="dxa"/>
            <w:vAlign w:val="top"/>
          </w:tcPr>
          <w:p w14:paraId="1C4BDD50">
            <w:pPr>
              <w:pStyle w:val="7"/>
              <w:keepNext w:val="0"/>
              <w:keepLines w:val="0"/>
              <w:pageBreakBefore w:val="0"/>
              <w:widowControl w:val="0"/>
              <w:kinsoku/>
              <w:overflowPunct/>
              <w:autoSpaceDE/>
              <w:autoSpaceDN/>
              <w:bidi w:val="0"/>
              <w:adjustRightInd/>
              <w:snapToGrid/>
              <w:spacing w:before="211" w:line="230" w:lineRule="auto"/>
              <w:ind w:left="116"/>
              <w:jc w:val="center"/>
              <w:textAlignment w:val="auto"/>
              <w:rPr>
                <w:color w:val="auto"/>
                <w:sz w:val="24"/>
                <w:szCs w:val="24"/>
              </w:rPr>
            </w:pPr>
            <w:r>
              <w:rPr>
                <w:color w:val="auto"/>
                <w:spacing w:val="-3"/>
                <w:sz w:val="24"/>
                <w:szCs w:val="24"/>
              </w:rPr>
              <w:t>80</w:t>
            </w:r>
            <w:r>
              <w:rPr>
                <w:color w:val="auto"/>
                <w:spacing w:val="38"/>
                <w:sz w:val="24"/>
                <w:szCs w:val="24"/>
              </w:rPr>
              <w:t xml:space="preserve"> </w:t>
            </w:r>
            <w:r>
              <w:rPr>
                <w:color w:val="auto"/>
                <w:spacing w:val="-3"/>
                <w:sz w:val="24"/>
                <w:szCs w:val="24"/>
              </w:rPr>
              <w:t>以下：</w:t>
            </w:r>
          </w:p>
        </w:tc>
        <w:tc>
          <w:tcPr>
            <w:tcW w:w="4472" w:type="dxa"/>
            <w:vAlign w:val="top"/>
          </w:tcPr>
          <w:p w14:paraId="29DE9CCC">
            <w:pPr>
              <w:pStyle w:val="7"/>
              <w:keepNext w:val="0"/>
              <w:keepLines w:val="0"/>
              <w:pageBreakBefore w:val="0"/>
              <w:widowControl w:val="0"/>
              <w:kinsoku/>
              <w:overflowPunct/>
              <w:autoSpaceDE/>
              <w:autoSpaceDN/>
              <w:bidi w:val="0"/>
              <w:adjustRightInd/>
              <w:snapToGrid/>
              <w:spacing w:before="212" w:line="228" w:lineRule="auto"/>
              <w:ind w:left="115"/>
              <w:jc w:val="center"/>
              <w:textAlignment w:val="auto"/>
              <w:rPr>
                <w:color w:val="auto"/>
                <w:sz w:val="24"/>
                <w:szCs w:val="24"/>
              </w:rPr>
            </w:pPr>
            <w:r>
              <w:rPr>
                <w:color w:val="auto"/>
                <w:spacing w:val="7"/>
                <w:sz w:val="24"/>
                <w:szCs w:val="24"/>
              </w:rPr>
              <w:t>有待改进</w:t>
            </w:r>
          </w:p>
        </w:tc>
      </w:tr>
    </w:tbl>
    <w:p w14:paraId="0594677A">
      <w:pPr>
        <w:keepNext w:val="0"/>
        <w:keepLines w:val="0"/>
        <w:pageBreakBefore w:val="0"/>
        <w:widowControl w:val="0"/>
        <w:numPr>
          <w:ilvl w:val="0"/>
          <w:numId w:val="9"/>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Wingdings" w:hAnsi="Wingdings" w:eastAsia="宋体" w:cs="Wingdings"/>
          <w:b/>
          <w:bCs/>
          <w:color w:val="auto"/>
          <w:kern w:val="0"/>
          <w:sz w:val="24"/>
          <w:szCs w:val="24"/>
          <w:lang w:val="en-US" w:eastAsia="zh-CN" w:bidi="ar"/>
        </w:rPr>
      </w:pPr>
      <w:r>
        <w:rPr>
          <w:rFonts w:hint="eastAsia" w:ascii="Wingdings" w:hAnsi="Wingdings" w:eastAsia="宋体" w:cs="Wingdings"/>
          <w:b/>
          <w:bCs/>
          <w:color w:val="auto"/>
          <w:kern w:val="0"/>
          <w:sz w:val="24"/>
          <w:szCs w:val="24"/>
          <w:lang w:val="en-US" w:eastAsia="zh-CN" w:bidi="ar"/>
        </w:rPr>
        <w:t>特别提示</w:t>
      </w:r>
    </w:p>
    <w:p w14:paraId="715AD930">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1. 工作成效：</w:t>
      </w:r>
      <w:r>
        <w:rPr>
          <w:rFonts w:hint="eastAsia" w:ascii="宋体" w:hAnsi="宋体" w:eastAsia="宋体" w:cs="宋体"/>
          <w:color w:val="auto"/>
          <w:kern w:val="0"/>
          <w:sz w:val="24"/>
          <w:szCs w:val="24"/>
          <w:lang w:val="en-US" w:eastAsia="zh-CN" w:bidi="ar"/>
        </w:rPr>
        <w:t xml:space="preserve">评估工作目标和成果的实际达成情况，以增加评估的客观性。对应原指标体系中的“工作目标完成情况”、“工作效率与完成质量”、“工作的改进与创新”。可结合《个人工作及发展计划》中的总体评价的结果。 </w:t>
      </w:r>
    </w:p>
    <w:p w14:paraId="00A2EF6A">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2. 工作原则及能力发展：</w:t>
      </w:r>
      <w:r>
        <w:rPr>
          <w:rFonts w:hint="eastAsia" w:ascii="宋体" w:hAnsi="宋体" w:eastAsia="宋体" w:cs="宋体"/>
          <w:color w:val="auto"/>
          <w:kern w:val="0"/>
          <w:sz w:val="24"/>
          <w:szCs w:val="24"/>
          <w:lang w:val="en-US" w:eastAsia="zh-CN" w:bidi="ar"/>
        </w:rPr>
        <w:t xml:space="preserve">以五项原则为内容，评估在日常工作中对原则的践行程度。能力发展评价则以《个人工作及发展计划》中的能力发展的目标和实际提升情况为内容。 </w:t>
      </w:r>
    </w:p>
    <w:p w14:paraId="10237559">
      <w:pPr>
        <w:keepNext w:val="0"/>
        <w:keepLines w:val="0"/>
        <w:pageBreakBefore w:val="0"/>
        <w:widowControl w:val="0"/>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宋体" w:hAnsi="宋体" w:eastAsia="宋体" w:cs="宋体"/>
          <w:b/>
          <w:bCs/>
          <w:color w:val="auto"/>
          <w:kern w:val="0"/>
          <w:sz w:val="24"/>
          <w:szCs w:val="24"/>
          <w:lang w:val="en-US" w:eastAsia="zh-CN" w:bidi="ar"/>
        </w:rPr>
        <w:t>3. 红线管理：</w:t>
      </w:r>
      <w:r>
        <w:rPr>
          <w:rFonts w:hint="eastAsia" w:ascii="宋体" w:hAnsi="宋体" w:eastAsia="宋体" w:cs="宋体"/>
          <w:color w:val="auto"/>
          <w:kern w:val="0"/>
          <w:sz w:val="24"/>
          <w:szCs w:val="24"/>
          <w:lang w:val="en-US" w:eastAsia="zh-CN" w:bidi="ar"/>
        </w:rPr>
        <w:t xml:space="preserve">在出现违规时做降低绩效评价等级的处理。对应原绩效指标中的“纪律性”。 </w:t>
      </w:r>
    </w:p>
    <w:p w14:paraId="7E07484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auto"/>
        <w:rPr>
          <w:rFonts w:hint="eastAsia" w:ascii="黑体" w:hAnsi="黑体" w:eastAsia="黑体" w:cs="黑体"/>
          <w:b w:val="0"/>
          <w:bCs w:val="0"/>
          <w:color w:val="auto"/>
          <w:kern w:val="0"/>
          <w:sz w:val="28"/>
          <w:szCs w:val="28"/>
          <w:lang w:val="en-US" w:eastAsia="zh-CN" w:bidi="ar"/>
        </w:rPr>
      </w:pPr>
    </w:p>
    <w:p w14:paraId="413434A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auto"/>
        <w:rPr>
          <w:rFonts w:hint="eastAsia" w:ascii="黑体" w:hAnsi="黑体" w:eastAsia="黑体" w:cs="黑体"/>
          <w:b w:val="0"/>
          <w:bCs w:val="0"/>
          <w:color w:val="auto"/>
          <w:kern w:val="0"/>
          <w:sz w:val="28"/>
          <w:szCs w:val="28"/>
          <w:lang w:val="en-US" w:eastAsia="zh-CN" w:bidi="ar"/>
        </w:rPr>
      </w:pPr>
      <w:r>
        <w:rPr>
          <w:rFonts w:hint="eastAsia" w:ascii="黑体" w:hAnsi="黑体" w:eastAsia="黑体" w:cs="黑体"/>
          <w:b w:val="0"/>
          <w:bCs w:val="0"/>
          <w:color w:val="auto"/>
          <w:kern w:val="0"/>
          <w:sz w:val="28"/>
          <w:szCs w:val="28"/>
          <w:lang w:val="en-US" w:eastAsia="zh-CN" w:bidi="ar"/>
        </w:rPr>
        <w:t>实用工具参考</w:t>
      </w:r>
    </w:p>
    <w:p w14:paraId="6E071614">
      <w:pPr>
        <w:keepNext w:val="0"/>
        <w:keepLines w:val="0"/>
        <w:pageBreakBefore w:val="0"/>
        <w:widowControl w:val="0"/>
        <w:numPr>
          <w:ilvl w:val="0"/>
          <w:numId w:val="10"/>
        </w:numPr>
        <w:kinsoku/>
        <w:overflowPunct/>
        <w:autoSpaceDE/>
        <w:autoSpaceDN/>
        <w:bidi w:val="0"/>
        <w:adjustRightInd/>
        <w:snapToGrid/>
        <w:spacing w:line="360" w:lineRule="auto"/>
        <w:ind w:left="420" w:leftChars="0" w:hanging="420" w:firstLineChars="0"/>
        <w:textAlignment w:val="auto"/>
        <w:rPr>
          <w:b/>
          <w:bCs/>
          <w:color w:val="auto"/>
          <w:sz w:val="24"/>
          <w:szCs w:val="24"/>
        </w:rPr>
      </w:pPr>
      <w:r>
        <w:rPr>
          <w:b/>
          <w:bCs/>
          <w:color w:val="auto"/>
          <w:sz w:val="24"/>
          <w:szCs w:val="24"/>
        </w:rPr>
        <w:t>工具1:如何沟通</w:t>
      </w:r>
    </w:p>
    <w:p w14:paraId="1DB1F389">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目的：熟悉不同的沟通类型及相应的提倡及反对的行为，能够清晰、快速的向沟通对象传递沟通类型，以提高沟通效率。</w:t>
      </w:r>
    </w:p>
    <w:p w14:paraId="174A506F">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了解沟通类型：以下沟通类型听者责任逐渐增强，行动导向逐渐增强。</w:t>
      </w:r>
    </w:p>
    <w:p w14:paraId="4DA6F3D4">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1.漫谈/闲聊</w:t>
      </w:r>
    </w:p>
    <w:p w14:paraId="20076098">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2.提供信息/获取信息 </w:t>
      </w:r>
    </w:p>
    <w:p w14:paraId="17E044A9">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3.讨论/征求意见</w:t>
      </w:r>
    </w:p>
    <w:p w14:paraId="0AA4C3F0">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4.提供分析结论</w:t>
      </w:r>
    </w:p>
    <w:p w14:paraId="4110235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5.提供行动建议型/请示 </w:t>
      </w:r>
    </w:p>
    <w:p w14:paraId="05D3960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6.提供行动指令型</w:t>
      </w:r>
    </w:p>
    <w:p w14:paraId="2509F8F5">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b/>
          <w:bCs/>
          <w:color w:val="auto"/>
          <w:kern w:val="2"/>
          <w:sz w:val="24"/>
          <w:szCs w:val="24"/>
          <w:lang w:val="en-US" w:eastAsia="zh-CN" w:bidi="ar-SA"/>
        </w:rPr>
      </w:pPr>
      <w:r>
        <w:rPr>
          <w:rFonts w:hint="eastAsia" w:ascii="宋体" w:hAnsi="宋体" w:eastAsia="宋体" w:cs="宋体"/>
          <w:b/>
          <w:bCs/>
          <w:color w:val="auto"/>
          <w:kern w:val="0"/>
          <w:sz w:val="24"/>
          <w:szCs w:val="24"/>
          <w:lang w:val="en-US" w:eastAsia="zh-CN" w:bidi="ar"/>
        </w:rPr>
        <w:t>不</w:t>
      </w:r>
      <w:r>
        <w:rPr>
          <w:rFonts w:hint="eastAsia" w:asciiTheme="minorHAnsi" w:hAnsiTheme="minorHAnsi" w:eastAsiaTheme="minorEastAsia" w:cstheme="minorBidi"/>
          <w:b/>
          <w:bCs/>
          <w:color w:val="auto"/>
          <w:kern w:val="2"/>
          <w:sz w:val="24"/>
          <w:szCs w:val="24"/>
          <w:lang w:val="en-US" w:eastAsia="zh-CN" w:bidi="ar-SA"/>
        </w:rPr>
        <w:t>同沟通类型的 DO &amp; DON ’T</w:t>
      </w:r>
    </w:p>
    <w:tbl>
      <w:tblPr>
        <w:tblStyle w:val="6"/>
        <w:tblW w:w="10200" w:type="dxa"/>
        <w:tblInd w:w="-683" w:type="dxa"/>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Layout w:type="fixed"/>
        <w:tblCellMar>
          <w:top w:w="0" w:type="dxa"/>
          <w:left w:w="0" w:type="dxa"/>
          <w:bottom w:w="0" w:type="dxa"/>
          <w:right w:w="0" w:type="dxa"/>
        </w:tblCellMar>
      </w:tblPr>
      <w:tblGrid>
        <w:gridCol w:w="1550"/>
        <w:gridCol w:w="3583"/>
        <w:gridCol w:w="5067"/>
      </w:tblGrid>
      <w:tr w14:paraId="538FF74D">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330" w:hRule="atLeast"/>
        </w:trPr>
        <w:tc>
          <w:tcPr>
            <w:tcW w:w="1550" w:type="dxa"/>
            <w:shd w:val="clear" w:color="auto" w:fill="F9680D"/>
            <w:vAlign w:val="top"/>
          </w:tcPr>
          <w:p w14:paraId="6F4C07E4">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b/>
                <w:bCs/>
                <w:color w:val="auto"/>
                <w:kern w:val="2"/>
                <w:sz w:val="24"/>
                <w:szCs w:val="24"/>
                <w:lang w:val="en-US" w:eastAsia="en-US" w:bidi="ar-SA"/>
              </w:rPr>
            </w:pPr>
            <w:r>
              <w:rPr>
                <w:rFonts w:hint="eastAsia" w:asciiTheme="minorHAnsi" w:hAnsiTheme="minorHAnsi" w:eastAsiaTheme="minorEastAsia" w:cstheme="minorBidi"/>
                <w:b/>
                <w:bCs/>
                <w:color w:val="auto"/>
                <w:kern w:val="2"/>
                <w:sz w:val="24"/>
                <w:szCs w:val="24"/>
                <w:lang w:val="en-US" w:eastAsia="en-US" w:bidi="ar-SA"/>
              </w:rPr>
              <w:t>类型</w:t>
            </w:r>
          </w:p>
        </w:tc>
        <w:tc>
          <w:tcPr>
            <w:tcW w:w="3583" w:type="dxa"/>
            <w:shd w:val="clear" w:color="auto" w:fill="F9680D"/>
            <w:vAlign w:val="top"/>
          </w:tcPr>
          <w:p w14:paraId="7DA29A4F">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b/>
                <w:bCs/>
                <w:color w:val="auto"/>
                <w:kern w:val="2"/>
                <w:sz w:val="24"/>
                <w:szCs w:val="24"/>
                <w:lang w:val="en-US" w:eastAsia="en-US" w:bidi="ar-SA"/>
              </w:rPr>
            </w:pPr>
            <w:r>
              <w:rPr>
                <w:rFonts w:hint="eastAsia" w:asciiTheme="minorHAnsi" w:hAnsiTheme="minorHAnsi" w:eastAsiaTheme="minorEastAsia" w:cstheme="minorBidi"/>
                <w:b/>
                <w:bCs/>
                <w:color w:val="auto"/>
                <w:kern w:val="2"/>
                <w:sz w:val="24"/>
                <w:szCs w:val="24"/>
                <w:lang w:val="en-US" w:eastAsia="en-US" w:bidi="ar-SA"/>
              </w:rPr>
              <w:t>提倡/DO</w:t>
            </w:r>
          </w:p>
        </w:tc>
        <w:tc>
          <w:tcPr>
            <w:tcW w:w="5067" w:type="dxa"/>
            <w:shd w:val="clear" w:color="auto" w:fill="F9680D"/>
            <w:vAlign w:val="top"/>
          </w:tcPr>
          <w:p w14:paraId="0D56E840">
            <w:pPr>
              <w:keepNext w:val="0"/>
              <w:keepLines w:val="0"/>
              <w:pageBreakBefore w:val="0"/>
              <w:widowControl w:val="0"/>
              <w:suppressLineNumbers w:val="0"/>
              <w:kinsoku/>
              <w:overflowPunct/>
              <w:autoSpaceDE/>
              <w:autoSpaceDN/>
              <w:bidi w:val="0"/>
              <w:adjustRightInd/>
              <w:snapToGrid/>
              <w:spacing w:line="360" w:lineRule="auto"/>
              <w:jc w:val="center"/>
              <w:textAlignment w:val="auto"/>
              <w:rPr>
                <w:rFonts w:hint="eastAsia" w:asciiTheme="minorHAnsi" w:hAnsiTheme="minorHAnsi" w:eastAsiaTheme="minorEastAsia" w:cstheme="minorBidi"/>
                <w:b/>
                <w:bCs/>
                <w:color w:val="auto"/>
                <w:kern w:val="2"/>
                <w:sz w:val="24"/>
                <w:szCs w:val="24"/>
                <w:lang w:val="en-US" w:eastAsia="en-US" w:bidi="ar-SA"/>
              </w:rPr>
            </w:pPr>
            <w:r>
              <w:rPr>
                <w:rFonts w:hint="eastAsia" w:asciiTheme="minorHAnsi" w:hAnsiTheme="minorHAnsi" w:eastAsiaTheme="minorEastAsia" w:cstheme="minorBidi"/>
                <w:b/>
                <w:bCs/>
                <w:color w:val="auto"/>
                <w:kern w:val="2"/>
                <w:sz w:val="24"/>
                <w:szCs w:val="24"/>
                <w:lang w:val="en-US" w:eastAsia="en-US" w:bidi="ar-SA"/>
              </w:rPr>
              <w:t>反对/DON ’T</w:t>
            </w:r>
          </w:p>
        </w:tc>
      </w:tr>
      <w:tr w14:paraId="1A2E56AD">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964" w:hRule="atLeast"/>
        </w:trPr>
        <w:tc>
          <w:tcPr>
            <w:tcW w:w="1550" w:type="dxa"/>
            <w:vAlign w:val="top"/>
          </w:tcPr>
          <w:p w14:paraId="77E3834D">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漫谈/闲聊</w:t>
            </w:r>
          </w:p>
        </w:tc>
        <w:tc>
          <w:tcPr>
            <w:tcW w:w="3583" w:type="dxa"/>
            <w:vAlign w:val="top"/>
          </w:tcPr>
          <w:p w14:paraId="31754472">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确保大家可以在漫谈/闲聊的心态</w:t>
            </w:r>
          </w:p>
          <w:p w14:paraId="496FF7E7">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可以谈没有根据的感受</w:t>
            </w:r>
          </w:p>
        </w:tc>
        <w:tc>
          <w:tcPr>
            <w:tcW w:w="5067" w:type="dxa"/>
            <w:vAlign w:val="top"/>
          </w:tcPr>
          <w:p w14:paraId="06C79346">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大量在正式环境里漫谈/闲聊</w:t>
            </w:r>
          </w:p>
          <w:p w14:paraId="5EBB6AA8">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把漫谈/闲聊中的一致意见当作正式的行政批准</w:t>
            </w:r>
          </w:p>
        </w:tc>
      </w:tr>
      <w:tr w14:paraId="0616F50E">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24" w:hRule="atLeast"/>
        </w:trPr>
        <w:tc>
          <w:tcPr>
            <w:tcW w:w="1550" w:type="dxa"/>
            <w:vAlign w:val="top"/>
          </w:tcPr>
          <w:p w14:paraId="7258E2FA">
            <w:pPr>
              <w:pStyle w:val="7"/>
              <w:keepNext w:val="0"/>
              <w:keepLines w:val="0"/>
              <w:pageBreakBefore w:val="0"/>
              <w:widowControl w:val="0"/>
              <w:kinsoku/>
              <w:overflowPunct/>
              <w:autoSpaceDE/>
              <w:autoSpaceDN/>
              <w:bidi w:val="0"/>
              <w:adjustRightInd/>
              <w:snapToGrid/>
              <w:spacing w:before="87" w:line="221"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提供信息</w:t>
            </w:r>
          </w:p>
        </w:tc>
        <w:tc>
          <w:tcPr>
            <w:tcW w:w="3583" w:type="dxa"/>
            <w:vAlign w:val="top"/>
          </w:tcPr>
          <w:p w14:paraId="41D4EB0A">
            <w:pPr>
              <w:pStyle w:val="7"/>
              <w:keepNext w:val="0"/>
              <w:keepLines w:val="0"/>
              <w:pageBreakBefore w:val="0"/>
              <w:widowControl w:val="0"/>
              <w:kinsoku/>
              <w:overflowPunct/>
              <w:autoSpaceDE/>
              <w:autoSpaceDN/>
              <w:bidi w:val="0"/>
              <w:adjustRightInd/>
              <w:snapToGrid/>
              <w:spacing w:before="87" w:line="221"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客观、及时、准确</w:t>
            </w:r>
          </w:p>
        </w:tc>
        <w:tc>
          <w:tcPr>
            <w:tcW w:w="5067" w:type="dxa"/>
            <w:vAlign w:val="top"/>
          </w:tcPr>
          <w:p w14:paraId="5C55AEC7">
            <w:pPr>
              <w:pStyle w:val="7"/>
              <w:keepNext w:val="0"/>
              <w:keepLines w:val="0"/>
              <w:pageBreakBefore w:val="0"/>
              <w:widowControl w:val="0"/>
              <w:kinsoku/>
              <w:overflowPunct/>
              <w:autoSpaceDE/>
              <w:autoSpaceDN/>
              <w:bidi w:val="0"/>
              <w:adjustRightInd/>
              <w:snapToGrid/>
              <w:spacing w:before="87" w:line="221"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加入太多个人感受</w:t>
            </w:r>
          </w:p>
        </w:tc>
      </w:tr>
      <w:tr w14:paraId="5390FCBA">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325" w:hRule="atLeast"/>
        </w:trPr>
        <w:tc>
          <w:tcPr>
            <w:tcW w:w="1550" w:type="dxa"/>
            <w:vAlign w:val="top"/>
          </w:tcPr>
          <w:p w14:paraId="3816537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p>
          <w:p w14:paraId="4ADCB195">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p>
          <w:p w14:paraId="3842270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p>
          <w:p w14:paraId="603D19A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p>
          <w:p w14:paraId="0728F9F9">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讨论</w:t>
            </w:r>
          </w:p>
        </w:tc>
        <w:tc>
          <w:tcPr>
            <w:tcW w:w="3583" w:type="dxa"/>
            <w:vAlign w:val="top"/>
          </w:tcPr>
          <w:p w14:paraId="41F537BE">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有主题和目的</w:t>
            </w:r>
          </w:p>
          <w:p w14:paraId="2EBDE87B">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适当的人参与</w:t>
            </w:r>
          </w:p>
          <w:p w14:paraId="02EE9223">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引起参与人员对讨论主题的兴趣对重要问题安排足够的讨论时间（高质量的讨论过程会大量减 少在执行过程中的时间浪费）</w:t>
            </w:r>
          </w:p>
          <w:p w14:paraId="3C2A31B0">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对复杂问题做好准备资料</w:t>
            </w:r>
          </w:p>
          <w:p w14:paraId="7ABC8E26">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全心参与，倾听，有所反馈，自省</w:t>
            </w:r>
          </w:p>
        </w:tc>
        <w:tc>
          <w:tcPr>
            <w:tcW w:w="5067" w:type="dxa"/>
            <w:vAlign w:val="top"/>
          </w:tcPr>
          <w:p w14:paraId="37E27A04">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心不在焉</w:t>
            </w:r>
          </w:p>
          <w:p w14:paraId="4B61BC3D">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跑题，偏离讨论目的</w:t>
            </w:r>
          </w:p>
          <w:p w14:paraId="467661C7">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轻易否定或接受别人的意见</w:t>
            </w:r>
          </w:p>
          <w:p w14:paraId="660CB25C">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上级参与时注意不要把自己的意见被别人理解为指令</w:t>
            </w:r>
          </w:p>
        </w:tc>
      </w:tr>
      <w:tr w14:paraId="19BA79DC">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1364" w:hRule="atLeast"/>
        </w:trPr>
        <w:tc>
          <w:tcPr>
            <w:tcW w:w="1550" w:type="dxa"/>
            <w:shd w:val="clear" w:color="auto" w:fill="auto"/>
            <w:vAlign w:val="top"/>
          </w:tcPr>
          <w:p w14:paraId="1E6CD58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p>
          <w:p w14:paraId="066C85CC">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提供分析结论</w:t>
            </w:r>
          </w:p>
        </w:tc>
        <w:tc>
          <w:tcPr>
            <w:tcW w:w="3583" w:type="dxa"/>
            <w:shd w:val="clear" w:color="auto" w:fill="auto"/>
            <w:vAlign w:val="top"/>
          </w:tcPr>
          <w:p w14:paraId="259A3EF2">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结论前置</w:t>
            </w:r>
          </w:p>
          <w:p w14:paraId="4F7A2566">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选择精确的语言</w:t>
            </w:r>
          </w:p>
          <w:p w14:paraId="10298073">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提供不成熟的结论实际上是讨论</w:t>
            </w:r>
          </w:p>
        </w:tc>
        <w:tc>
          <w:tcPr>
            <w:tcW w:w="5067" w:type="dxa"/>
            <w:shd w:val="clear" w:color="auto" w:fill="auto"/>
            <w:vAlign w:val="top"/>
          </w:tcPr>
          <w:p w14:paraId="4F8D46C5">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下结论前不经考虑</w:t>
            </w:r>
          </w:p>
          <w:p w14:paraId="6D9423CE">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通过过于极端或夸大的结论引起他人注意或重视</w:t>
            </w:r>
          </w:p>
          <w:p w14:paraId="04D52A77">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对行动没有参考意义的结论</w:t>
            </w:r>
          </w:p>
        </w:tc>
      </w:tr>
      <w:tr w14:paraId="33E03912">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663" w:hRule="atLeast"/>
        </w:trPr>
        <w:tc>
          <w:tcPr>
            <w:tcW w:w="1550" w:type="dxa"/>
            <w:shd w:val="clear" w:color="auto" w:fill="auto"/>
            <w:vAlign w:val="top"/>
          </w:tcPr>
          <w:p w14:paraId="299D3C8F">
            <w:pPr>
              <w:pStyle w:val="7"/>
              <w:keepNext w:val="0"/>
              <w:keepLines w:val="0"/>
              <w:pageBreakBefore w:val="0"/>
              <w:widowControl w:val="0"/>
              <w:kinsoku/>
              <w:overflowPunct/>
              <w:autoSpaceDE/>
              <w:autoSpaceDN/>
              <w:bidi w:val="0"/>
              <w:adjustRightInd/>
              <w:snapToGrid/>
              <w:spacing w:before="88" w:line="265" w:lineRule="auto"/>
              <w:ind w:right="281" w:rightChars="0"/>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提供建议  （含请示）</w:t>
            </w:r>
          </w:p>
        </w:tc>
        <w:tc>
          <w:tcPr>
            <w:tcW w:w="3583" w:type="dxa"/>
            <w:shd w:val="clear" w:color="auto" w:fill="auto"/>
            <w:vAlign w:val="top"/>
          </w:tcPr>
          <w:p w14:paraId="668EB6BB">
            <w:pPr>
              <w:pStyle w:val="7"/>
              <w:keepNext w:val="0"/>
              <w:keepLines w:val="0"/>
              <w:pageBreakBefore w:val="0"/>
              <w:widowControl w:val="0"/>
              <w:kinsoku/>
              <w:overflowPunct/>
              <w:autoSpaceDE/>
              <w:autoSpaceDN/>
              <w:bidi w:val="0"/>
              <w:adjustRightInd/>
              <w:snapToGrid/>
              <w:spacing w:before="89"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见《如何提出建议》的内容</w:t>
            </w:r>
          </w:p>
        </w:tc>
        <w:tc>
          <w:tcPr>
            <w:tcW w:w="5067" w:type="dxa"/>
            <w:shd w:val="clear" w:color="auto" w:fill="auto"/>
            <w:vAlign w:val="top"/>
          </w:tcPr>
          <w:p w14:paraId="11140650">
            <w:pPr>
              <w:pStyle w:val="7"/>
              <w:keepNext w:val="0"/>
              <w:keepLines w:val="0"/>
              <w:pageBreakBefore w:val="0"/>
              <w:widowControl w:val="0"/>
              <w:kinsoku/>
              <w:overflowPunct/>
              <w:autoSpaceDE/>
              <w:autoSpaceDN/>
              <w:bidi w:val="0"/>
              <w:adjustRightInd/>
              <w:snapToGrid/>
              <w:spacing w:before="89" w:line="228" w:lineRule="auto"/>
              <w:ind w:left="116" w:leftChars="0"/>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见《如何提出建议》的内容</w:t>
            </w:r>
          </w:p>
        </w:tc>
      </w:tr>
      <w:tr w14:paraId="03A7FABE">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644" w:hRule="atLeast"/>
        </w:trPr>
        <w:tc>
          <w:tcPr>
            <w:tcW w:w="1550" w:type="dxa"/>
            <w:shd w:val="clear" w:color="auto" w:fill="auto"/>
            <w:vAlign w:val="top"/>
          </w:tcPr>
          <w:p w14:paraId="70A547A1">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提供行动指令</w:t>
            </w:r>
          </w:p>
        </w:tc>
        <w:tc>
          <w:tcPr>
            <w:tcW w:w="3583" w:type="dxa"/>
            <w:shd w:val="clear" w:color="auto" w:fill="auto"/>
            <w:vAlign w:val="top"/>
          </w:tcPr>
          <w:p w14:paraId="6BA30CF5">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准确</w:t>
            </w:r>
          </w:p>
          <w:p w14:paraId="0A31A6C3">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对适合的人</w:t>
            </w:r>
          </w:p>
        </w:tc>
        <w:tc>
          <w:tcPr>
            <w:tcW w:w="5067" w:type="dxa"/>
            <w:shd w:val="clear" w:color="auto" w:fill="auto"/>
            <w:vAlign w:val="top"/>
          </w:tcPr>
          <w:p w14:paraId="6D14D358">
            <w:pPr>
              <w:keepNext w:val="0"/>
              <w:keepLines w:val="0"/>
              <w:pageBreakBefore w:val="0"/>
              <w:widowControl w:val="0"/>
              <w:suppressLineNumbers w:val="0"/>
              <w:kinsoku/>
              <w:overflowPunct/>
              <w:autoSpaceDE/>
              <w:autoSpaceDN/>
              <w:bidi w:val="0"/>
              <w:adjustRightInd/>
              <w:snapToGrid/>
              <w:spacing w:line="360" w:lineRule="auto"/>
              <w:jc w:val="left"/>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给多人做同一件事的指令（如告诉多人</w:t>
            </w:r>
            <w:r>
              <w:rPr>
                <w:rFonts w:hint="eastAsia" w:cstheme="minorBidi"/>
                <w:color w:val="auto"/>
                <w:kern w:val="2"/>
                <w:sz w:val="24"/>
                <w:szCs w:val="24"/>
                <w:lang w:val="en-US" w:eastAsia="zh-CN" w:bidi="ar-SA"/>
              </w:rPr>
              <w:t>、</w:t>
            </w:r>
            <w:r>
              <w:rPr>
                <w:rFonts w:hint="eastAsia" w:asciiTheme="minorHAnsi" w:hAnsiTheme="minorHAnsi" w:eastAsiaTheme="minorEastAsia" w:cstheme="minorBidi"/>
                <w:color w:val="auto"/>
                <w:kern w:val="2"/>
                <w:sz w:val="24"/>
                <w:szCs w:val="24"/>
                <w:lang w:val="en-US" w:eastAsia="en-US" w:bidi="ar-SA"/>
              </w:rPr>
              <w:t>要告诉这几个人你都告诉过几个人且每个人的角色是什么）</w:t>
            </w:r>
          </w:p>
        </w:tc>
      </w:tr>
    </w:tbl>
    <w:p w14:paraId="406194FD">
      <w:pPr>
        <w:keepNext w:val="0"/>
        <w:keepLines w:val="0"/>
        <w:pageBreakBefore w:val="0"/>
        <w:widowControl w:val="0"/>
        <w:kinsoku/>
        <w:overflowPunct/>
        <w:autoSpaceDE/>
        <w:autoSpaceDN/>
        <w:bidi w:val="0"/>
        <w:adjustRightInd/>
        <w:snapToGrid/>
        <w:spacing w:before="78" w:line="227" w:lineRule="auto"/>
        <w:ind w:left="511"/>
        <w:textAlignment w:val="auto"/>
        <w:rPr>
          <w:rFonts w:ascii="宋体" w:hAnsi="宋体" w:eastAsia="宋体" w:cs="宋体"/>
          <w:b/>
          <w:bCs/>
          <w:color w:val="auto"/>
          <w:sz w:val="24"/>
          <w:szCs w:val="24"/>
        </w:rPr>
      </w:pPr>
      <w:r>
        <w:rPr>
          <w:rFonts w:ascii="宋体" w:hAnsi="宋体" w:eastAsia="宋体" w:cs="宋体"/>
          <w:b/>
          <w:bCs/>
          <w:color w:val="auto"/>
          <w:spacing w:val="-7"/>
          <w:sz w:val="24"/>
          <w:szCs w:val="24"/>
        </w:rPr>
        <w:t>提高沟通效率的方法：</w:t>
      </w:r>
    </w:p>
    <w:p w14:paraId="4FCCB7CC">
      <w:pPr>
        <w:pStyle w:val="2"/>
        <w:keepNext w:val="0"/>
        <w:keepLines w:val="0"/>
        <w:pageBreakBefore w:val="0"/>
        <w:widowControl w:val="0"/>
        <w:kinsoku/>
        <w:overflowPunct/>
        <w:autoSpaceDE/>
        <w:autoSpaceDN/>
        <w:bidi w:val="0"/>
        <w:adjustRightInd/>
        <w:snapToGrid/>
        <w:spacing w:before="183" w:line="313" w:lineRule="auto"/>
        <w:ind w:right="11" w:firstLine="472" w:firstLineChars="200"/>
        <w:textAlignment w:val="auto"/>
        <w:rPr>
          <w:rFonts w:ascii="宋体" w:hAnsi="宋体" w:eastAsia="宋体" w:cs="宋体"/>
          <w:color w:val="auto"/>
          <w:sz w:val="24"/>
          <w:szCs w:val="24"/>
        </w:rPr>
      </w:pPr>
      <w:r>
        <w:rPr>
          <w:rFonts w:ascii="宋体" w:hAnsi="宋体" w:eastAsia="宋体" w:cs="宋体"/>
          <w:color w:val="auto"/>
          <w:spacing w:val="-2"/>
          <w:sz w:val="24"/>
          <w:szCs w:val="24"/>
        </w:rPr>
        <w:t>30秒原则：即在前30秒内或在前两句话让对方了解你的沟通类型，这</w:t>
      </w:r>
      <w:r>
        <w:rPr>
          <w:rFonts w:ascii="宋体" w:hAnsi="宋体" w:eastAsia="宋体" w:cs="宋体"/>
          <w:color w:val="auto"/>
          <w:spacing w:val="-3"/>
          <w:sz w:val="24"/>
          <w:szCs w:val="24"/>
        </w:rPr>
        <w:t>样就更有可能促使对方调整状态来接收你即将传递的信息。听着也根据对方传递</w:t>
      </w:r>
      <w:r>
        <w:rPr>
          <w:rFonts w:ascii="宋体" w:hAnsi="宋体" w:eastAsia="宋体" w:cs="宋体"/>
          <w:color w:val="auto"/>
          <w:spacing w:val="-1"/>
          <w:sz w:val="24"/>
          <w:szCs w:val="24"/>
        </w:rPr>
        <w:t>的沟通类型调整自己的沟通状态。一下是快速传递沟通类型的一</w:t>
      </w:r>
      <w:r>
        <w:rPr>
          <w:rFonts w:ascii="宋体" w:hAnsi="宋体" w:eastAsia="宋体" w:cs="宋体"/>
          <w:color w:val="auto"/>
          <w:spacing w:val="-2"/>
          <w:sz w:val="24"/>
          <w:szCs w:val="24"/>
        </w:rPr>
        <w:t>些语言。</w:t>
      </w:r>
    </w:p>
    <w:p w14:paraId="72A7C9B4">
      <w:pPr>
        <w:keepNext w:val="0"/>
        <w:keepLines w:val="0"/>
        <w:pageBreakBefore w:val="0"/>
        <w:widowControl w:val="0"/>
        <w:kinsoku/>
        <w:overflowPunct/>
        <w:autoSpaceDE/>
        <w:autoSpaceDN/>
        <w:bidi w:val="0"/>
        <w:adjustRightInd/>
        <w:snapToGrid/>
        <w:spacing w:line="68" w:lineRule="exact"/>
        <w:textAlignment w:val="auto"/>
        <w:rPr>
          <w:color w:val="auto"/>
        </w:rPr>
      </w:pPr>
    </w:p>
    <w:tbl>
      <w:tblPr>
        <w:tblStyle w:val="6"/>
        <w:tblW w:w="10200" w:type="dxa"/>
        <w:tblInd w:w="-694" w:type="dxa"/>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Layout w:type="fixed"/>
        <w:tblCellMar>
          <w:top w:w="0" w:type="dxa"/>
          <w:left w:w="0" w:type="dxa"/>
          <w:bottom w:w="0" w:type="dxa"/>
          <w:right w:w="0" w:type="dxa"/>
        </w:tblCellMar>
      </w:tblPr>
      <w:tblGrid>
        <w:gridCol w:w="3025"/>
        <w:gridCol w:w="7175"/>
      </w:tblGrid>
      <w:tr w14:paraId="13E04523">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6" w:hRule="atLeast"/>
        </w:trPr>
        <w:tc>
          <w:tcPr>
            <w:tcW w:w="3025" w:type="dxa"/>
            <w:shd w:val="clear" w:color="auto" w:fill="F9680D"/>
            <w:vAlign w:val="top"/>
          </w:tcPr>
          <w:p w14:paraId="0EFC2B11">
            <w:pPr>
              <w:pStyle w:val="7"/>
              <w:keepNext w:val="0"/>
              <w:keepLines w:val="0"/>
              <w:pageBreakBefore w:val="0"/>
              <w:widowControl w:val="0"/>
              <w:kinsoku/>
              <w:overflowPunct/>
              <w:autoSpaceDE/>
              <w:autoSpaceDN/>
              <w:bidi w:val="0"/>
              <w:adjustRightInd/>
              <w:snapToGrid/>
              <w:spacing w:before="213" w:line="228" w:lineRule="auto"/>
              <w:ind w:left="687"/>
              <w:textAlignment w:val="auto"/>
              <w:rPr>
                <w:rFonts w:hint="eastAsia" w:asciiTheme="minorHAnsi" w:hAnsiTheme="minorHAnsi" w:eastAsiaTheme="minorEastAsia" w:cstheme="minorBidi"/>
                <w:b/>
                <w:bCs/>
                <w:color w:val="auto"/>
                <w:kern w:val="2"/>
                <w:sz w:val="24"/>
                <w:szCs w:val="24"/>
                <w:lang w:val="en-US" w:eastAsia="en-US" w:bidi="ar-SA"/>
              </w:rPr>
            </w:pPr>
            <w:r>
              <w:rPr>
                <w:rFonts w:hint="eastAsia" w:asciiTheme="minorHAnsi" w:hAnsiTheme="minorHAnsi" w:eastAsiaTheme="minorEastAsia" w:cstheme="minorBidi"/>
                <w:b/>
                <w:bCs/>
                <w:color w:val="auto"/>
                <w:kern w:val="2"/>
                <w:sz w:val="24"/>
                <w:szCs w:val="24"/>
                <w:lang w:val="en-US" w:eastAsia="en-US" w:bidi="ar-SA"/>
              </w:rPr>
              <w:t>沟通类型</w:t>
            </w:r>
          </w:p>
        </w:tc>
        <w:tc>
          <w:tcPr>
            <w:tcW w:w="7175" w:type="dxa"/>
            <w:shd w:val="clear" w:color="auto" w:fill="F9680D"/>
            <w:vAlign w:val="top"/>
          </w:tcPr>
          <w:p w14:paraId="28ED47BC">
            <w:pPr>
              <w:pStyle w:val="7"/>
              <w:keepNext w:val="0"/>
              <w:keepLines w:val="0"/>
              <w:pageBreakBefore w:val="0"/>
              <w:widowControl w:val="0"/>
              <w:kinsoku/>
              <w:overflowPunct/>
              <w:autoSpaceDE/>
              <w:autoSpaceDN/>
              <w:bidi w:val="0"/>
              <w:adjustRightInd/>
              <w:snapToGrid/>
              <w:spacing w:before="213" w:line="227" w:lineRule="auto"/>
              <w:ind w:left="2110"/>
              <w:textAlignment w:val="auto"/>
              <w:rPr>
                <w:rFonts w:hint="eastAsia" w:asciiTheme="minorHAnsi" w:hAnsiTheme="minorHAnsi" w:eastAsiaTheme="minorEastAsia" w:cstheme="minorBidi"/>
                <w:b/>
                <w:bCs/>
                <w:color w:val="auto"/>
                <w:kern w:val="2"/>
                <w:sz w:val="24"/>
                <w:szCs w:val="24"/>
                <w:lang w:val="en-US" w:eastAsia="en-US" w:bidi="ar-SA"/>
              </w:rPr>
            </w:pPr>
            <w:r>
              <w:rPr>
                <w:rFonts w:hint="eastAsia" w:asciiTheme="minorHAnsi" w:hAnsiTheme="minorHAnsi" w:eastAsiaTheme="minorEastAsia" w:cstheme="minorBidi"/>
                <w:b/>
                <w:bCs/>
                <w:color w:val="auto"/>
                <w:kern w:val="2"/>
                <w:sz w:val="24"/>
                <w:szCs w:val="24"/>
                <w:lang w:val="en-US" w:eastAsia="en-US" w:bidi="ar-SA"/>
              </w:rPr>
              <w:t>“第一句话 ”举例</w:t>
            </w:r>
          </w:p>
        </w:tc>
      </w:tr>
      <w:tr w14:paraId="2EF245C2">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1" w:hRule="atLeast"/>
        </w:trPr>
        <w:tc>
          <w:tcPr>
            <w:tcW w:w="3025" w:type="dxa"/>
            <w:vAlign w:val="top"/>
          </w:tcPr>
          <w:p w14:paraId="3F681E7A">
            <w:pPr>
              <w:pStyle w:val="7"/>
              <w:keepNext w:val="0"/>
              <w:keepLines w:val="0"/>
              <w:pageBreakBefore w:val="0"/>
              <w:widowControl w:val="0"/>
              <w:kinsoku/>
              <w:overflowPunct/>
              <w:autoSpaceDE/>
              <w:autoSpaceDN/>
              <w:bidi w:val="0"/>
              <w:adjustRightInd/>
              <w:snapToGrid/>
              <w:spacing w:before="210" w:line="229"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漫谈/闲聊</w:t>
            </w:r>
          </w:p>
        </w:tc>
        <w:tc>
          <w:tcPr>
            <w:tcW w:w="7175" w:type="dxa"/>
            <w:vAlign w:val="top"/>
          </w:tcPr>
          <w:p w14:paraId="6C416EB7">
            <w:pPr>
              <w:pStyle w:val="7"/>
              <w:keepNext w:val="0"/>
              <w:keepLines w:val="0"/>
              <w:pageBreakBefore w:val="0"/>
              <w:widowControl w:val="0"/>
              <w:kinsoku/>
              <w:overflowPunct/>
              <w:autoSpaceDE/>
              <w:autoSpaceDN/>
              <w:bidi w:val="0"/>
              <w:adjustRightInd/>
              <w:snapToGrid/>
              <w:spacing w:before="210" w:line="228" w:lineRule="auto"/>
              <w:ind w:left="113"/>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我有一些感想，想在你方便的时候和你闲聊一下。</w:t>
            </w:r>
          </w:p>
        </w:tc>
      </w:tr>
      <w:tr w14:paraId="257B88DB">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644" w:hRule="atLeast"/>
        </w:trPr>
        <w:tc>
          <w:tcPr>
            <w:tcW w:w="3025" w:type="dxa"/>
            <w:vAlign w:val="top"/>
          </w:tcPr>
          <w:p w14:paraId="236C89D3">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提供信息/获取信息</w:t>
            </w:r>
          </w:p>
        </w:tc>
        <w:tc>
          <w:tcPr>
            <w:tcW w:w="7175" w:type="dxa"/>
            <w:vAlign w:val="top"/>
          </w:tcPr>
          <w:p w14:paraId="7196FDBD">
            <w:pPr>
              <w:pStyle w:val="7"/>
              <w:keepNext w:val="0"/>
              <w:keepLines w:val="0"/>
              <w:pageBreakBefore w:val="0"/>
              <w:widowControl w:val="0"/>
              <w:kinsoku/>
              <w:overflowPunct/>
              <w:autoSpaceDE/>
              <w:autoSpaceDN/>
              <w:bidi w:val="0"/>
              <w:adjustRightInd/>
              <w:snapToGrid/>
              <w:spacing w:before="88" w:line="265" w:lineRule="auto"/>
              <w:ind w:left="111" w:right="108" w:firstLine="1"/>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我想占用你 15 分钟时间向你通报/介绍一下关于 A 项目在过去两 个月的进展。</w:t>
            </w:r>
          </w:p>
        </w:tc>
      </w:tr>
      <w:tr w14:paraId="44654076">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1" w:hRule="atLeast"/>
        </w:trPr>
        <w:tc>
          <w:tcPr>
            <w:tcW w:w="3025" w:type="dxa"/>
            <w:vAlign w:val="top"/>
          </w:tcPr>
          <w:p w14:paraId="4355FE92">
            <w:pPr>
              <w:pStyle w:val="7"/>
              <w:keepNext w:val="0"/>
              <w:keepLines w:val="0"/>
              <w:pageBreakBefore w:val="0"/>
              <w:widowControl w:val="0"/>
              <w:kinsoku/>
              <w:overflowPunct/>
              <w:autoSpaceDE/>
              <w:autoSpaceDN/>
              <w:bidi w:val="0"/>
              <w:adjustRightInd/>
              <w:snapToGrid/>
              <w:spacing w:before="211"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讨论</w:t>
            </w:r>
          </w:p>
        </w:tc>
        <w:tc>
          <w:tcPr>
            <w:tcW w:w="7175" w:type="dxa"/>
            <w:vAlign w:val="top"/>
          </w:tcPr>
          <w:p w14:paraId="14CDDE6E">
            <w:pPr>
              <w:pStyle w:val="7"/>
              <w:keepNext w:val="0"/>
              <w:keepLines w:val="0"/>
              <w:pageBreakBefore w:val="0"/>
              <w:widowControl w:val="0"/>
              <w:kinsoku/>
              <w:overflowPunct/>
              <w:autoSpaceDE/>
              <w:autoSpaceDN/>
              <w:bidi w:val="0"/>
              <w:adjustRightInd/>
              <w:snapToGrid/>
              <w:spacing w:before="211" w:line="228" w:lineRule="auto"/>
              <w:ind w:left="113"/>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我想占用你 1 个小时的时间就最近 A 项目的问题做一下讨论。</w:t>
            </w:r>
          </w:p>
        </w:tc>
      </w:tr>
      <w:tr w14:paraId="179E5BAD">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2" w:hRule="atLeast"/>
        </w:trPr>
        <w:tc>
          <w:tcPr>
            <w:tcW w:w="3025" w:type="dxa"/>
            <w:vAlign w:val="top"/>
          </w:tcPr>
          <w:p w14:paraId="3F84B200">
            <w:pPr>
              <w:pStyle w:val="7"/>
              <w:keepNext w:val="0"/>
              <w:keepLines w:val="0"/>
              <w:pageBreakBefore w:val="0"/>
              <w:widowControl w:val="0"/>
              <w:kinsoku/>
              <w:overflowPunct/>
              <w:autoSpaceDE/>
              <w:autoSpaceDN/>
              <w:bidi w:val="0"/>
              <w:adjustRightInd/>
              <w:snapToGrid/>
              <w:spacing w:before="212"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提供分析结论</w:t>
            </w:r>
          </w:p>
        </w:tc>
        <w:tc>
          <w:tcPr>
            <w:tcW w:w="7175" w:type="dxa"/>
            <w:vAlign w:val="top"/>
          </w:tcPr>
          <w:p w14:paraId="60169F7D">
            <w:pPr>
              <w:pStyle w:val="7"/>
              <w:keepNext w:val="0"/>
              <w:keepLines w:val="0"/>
              <w:pageBreakBefore w:val="0"/>
              <w:widowControl w:val="0"/>
              <w:kinsoku/>
              <w:overflowPunct/>
              <w:autoSpaceDE/>
              <w:autoSpaceDN/>
              <w:bidi w:val="0"/>
              <w:adjustRightInd/>
              <w:snapToGrid/>
              <w:spacing w:before="211" w:line="228" w:lineRule="auto"/>
              <w:ind w:left="113"/>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我对…进行了一些分析，有些结论想和你分享一下。</w:t>
            </w:r>
          </w:p>
        </w:tc>
      </w:tr>
      <w:tr w14:paraId="5E94A043">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644" w:hRule="atLeast"/>
        </w:trPr>
        <w:tc>
          <w:tcPr>
            <w:tcW w:w="3025" w:type="dxa"/>
            <w:vAlign w:val="top"/>
          </w:tcPr>
          <w:p w14:paraId="247153F8">
            <w:pPr>
              <w:pStyle w:val="7"/>
              <w:keepNext w:val="0"/>
              <w:keepLines w:val="0"/>
              <w:pageBreakBefore w:val="0"/>
              <w:widowControl w:val="0"/>
              <w:kinsoku/>
              <w:overflowPunct/>
              <w:autoSpaceDE/>
              <w:autoSpaceDN/>
              <w:bidi w:val="0"/>
              <w:adjustRightInd/>
              <w:snapToGrid/>
              <w:spacing w:before="90" w:line="264" w:lineRule="auto"/>
              <w:ind w:right="851"/>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提供行动建议</w:t>
            </w:r>
          </w:p>
        </w:tc>
        <w:tc>
          <w:tcPr>
            <w:tcW w:w="7175" w:type="dxa"/>
            <w:vAlign w:val="top"/>
          </w:tcPr>
          <w:p w14:paraId="76659A6A">
            <w:pPr>
              <w:pStyle w:val="7"/>
              <w:keepNext w:val="0"/>
              <w:keepLines w:val="0"/>
              <w:pageBreakBefore w:val="0"/>
              <w:widowControl w:val="0"/>
              <w:kinsoku/>
              <w:overflowPunct/>
              <w:autoSpaceDE/>
              <w:autoSpaceDN/>
              <w:bidi w:val="0"/>
              <w:adjustRightInd/>
              <w:snapToGrid/>
              <w:spacing w:before="249" w:line="229" w:lineRule="auto"/>
              <w:ind w:left="113"/>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我想就员工发展体系向你提出调整建议。</w:t>
            </w:r>
          </w:p>
        </w:tc>
      </w:tr>
      <w:tr w14:paraId="7BFC2B2E">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6" w:hRule="atLeast"/>
        </w:trPr>
        <w:tc>
          <w:tcPr>
            <w:tcW w:w="3025" w:type="dxa"/>
            <w:vAlign w:val="top"/>
          </w:tcPr>
          <w:p w14:paraId="7974F0CD">
            <w:pPr>
              <w:pStyle w:val="7"/>
              <w:keepNext w:val="0"/>
              <w:keepLines w:val="0"/>
              <w:pageBreakBefore w:val="0"/>
              <w:widowControl w:val="0"/>
              <w:kinsoku/>
              <w:overflowPunct/>
              <w:autoSpaceDE/>
              <w:autoSpaceDN/>
              <w:bidi w:val="0"/>
              <w:adjustRightInd/>
              <w:snapToGrid/>
              <w:spacing w:before="215"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提供行动指令</w:t>
            </w:r>
          </w:p>
        </w:tc>
        <w:tc>
          <w:tcPr>
            <w:tcW w:w="7175" w:type="dxa"/>
            <w:vAlign w:val="top"/>
          </w:tcPr>
          <w:p w14:paraId="50489BBE">
            <w:pPr>
              <w:pStyle w:val="7"/>
              <w:keepNext w:val="0"/>
              <w:keepLines w:val="0"/>
              <w:pageBreakBefore w:val="0"/>
              <w:widowControl w:val="0"/>
              <w:kinsoku/>
              <w:overflowPunct/>
              <w:autoSpaceDE/>
              <w:autoSpaceDN/>
              <w:bidi w:val="0"/>
              <w:adjustRightInd/>
              <w:snapToGrid/>
              <w:spacing w:before="214" w:line="229" w:lineRule="auto"/>
              <w:ind w:left="113"/>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我想就你这段时间的工作表现和下阶段工作重点提一些反馈。</w:t>
            </w:r>
          </w:p>
        </w:tc>
      </w:tr>
    </w:tbl>
    <w:p w14:paraId="72B02223">
      <w:pPr>
        <w:pStyle w:val="2"/>
        <w:keepNext w:val="0"/>
        <w:keepLines w:val="0"/>
        <w:pageBreakBefore w:val="0"/>
        <w:widowControl w:val="0"/>
        <w:kinsoku/>
        <w:overflowPunct/>
        <w:autoSpaceDE/>
        <w:autoSpaceDN/>
        <w:bidi w:val="0"/>
        <w:adjustRightInd/>
        <w:snapToGrid/>
        <w:spacing w:before="183" w:line="313" w:lineRule="auto"/>
        <w:ind w:right="11" w:firstLine="472" w:firstLineChars="200"/>
        <w:textAlignment w:val="auto"/>
        <w:rPr>
          <w:rFonts w:ascii="宋体" w:hAnsi="宋体" w:eastAsia="宋体" w:cs="宋体"/>
          <w:color w:val="auto"/>
          <w:spacing w:val="-2"/>
          <w:sz w:val="24"/>
          <w:szCs w:val="24"/>
        </w:rPr>
      </w:pPr>
      <w:r>
        <w:rPr>
          <w:rFonts w:ascii="宋体" w:hAnsi="宋体" w:eastAsia="宋体" w:cs="宋体"/>
          <w:color w:val="auto"/>
          <w:spacing w:val="-2"/>
          <w:sz w:val="24"/>
          <w:szCs w:val="24"/>
        </w:rPr>
        <w:t>3 分钟原则：即在前 3 分钟内让对方接触到你的关键信息。这一点尤其 在提供分析结论或提供行动建议类的沟通中特别奏效。</w:t>
      </w:r>
    </w:p>
    <w:p w14:paraId="44C396AA">
      <w:pPr>
        <w:pStyle w:val="2"/>
        <w:keepNext w:val="0"/>
        <w:keepLines w:val="0"/>
        <w:pageBreakBefore w:val="0"/>
        <w:widowControl w:val="0"/>
        <w:kinsoku/>
        <w:overflowPunct/>
        <w:autoSpaceDE/>
        <w:autoSpaceDN/>
        <w:bidi w:val="0"/>
        <w:adjustRightInd/>
        <w:snapToGrid/>
        <w:spacing w:before="183" w:line="313" w:lineRule="auto"/>
        <w:ind w:right="11" w:firstLine="472" w:firstLineChars="200"/>
        <w:textAlignment w:val="auto"/>
        <w:rPr>
          <w:rFonts w:ascii="宋体" w:hAnsi="宋体" w:eastAsia="宋体" w:cs="宋体"/>
          <w:color w:val="auto"/>
          <w:spacing w:val="-2"/>
          <w:sz w:val="24"/>
          <w:szCs w:val="24"/>
        </w:rPr>
      </w:pPr>
      <w:r>
        <w:rPr>
          <w:rFonts w:ascii="宋体" w:hAnsi="宋体" w:eastAsia="宋体" w:cs="宋体"/>
          <w:color w:val="auto"/>
          <w:spacing w:val="-2"/>
          <w:sz w:val="24"/>
          <w:szCs w:val="24"/>
        </w:rPr>
        <w:t>倒置法：先讲建议、结论，后讲建议或结论的依据。尤其在提供分析结 论或提供行动建议的沟通场景中，这一点可以大大的提高沟通的效率。</w:t>
      </w:r>
    </w:p>
    <w:p w14:paraId="04F3188B">
      <w:pPr>
        <w:pStyle w:val="2"/>
        <w:keepNext w:val="0"/>
        <w:keepLines w:val="0"/>
        <w:pageBreakBefore w:val="0"/>
        <w:widowControl w:val="0"/>
        <w:kinsoku/>
        <w:overflowPunct/>
        <w:autoSpaceDE/>
        <w:autoSpaceDN/>
        <w:bidi w:val="0"/>
        <w:adjustRightInd/>
        <w:snapToGrid/>
        <w:spacing w:before="183" w:line="313" w:lineRule="auto"/>
        <w:ind w:right="11" w:firstLine="472" w:firstLineChars="200"/>
        <w:textAlignment w:val="auto"/>
        <w:rPr>
          <w:color w:val="auto"/>
        </w:rPr>
      </w:pPr>
      <w:r>
        <w:rPr>
          <w:rFonts w:ascii="宋体" w:hAnsi="宋体" w:eastAsia="宋体" w:cs="宋体"/>
          <w:color w:val="auto"/>
          <w:spacing w:val="-2"/>
          <w:sz w:val="24"/>
          <w:szCs w:val="24"/>
        </w:rPr>
        <w:t>实现3分钟原则和倒置法可以参考下方“如何写建议 ”。</w:t>
      </w:r>
    </w:p>
    <w:p w14:paraId="7F47A3BC">
      <w:pPr>
        <w:keepNext w:val="0"/>
        <w:keepLines w:val="0"/>
        <w:pageBreakBefore w:val="0"/>
        <w:widowControl w:val="0"/>
        <w:numPr>
          <w:ilvl w:val="0"/>
          <w:numId w:val="10"/>
        </w:numPr>
        <w:kinsoku/>
        <w:overflowPunct/>
        <w:autoSpaceDE/>
        <w:autoSpaceDN/>
        <w:bidi w:val="0"/>
        <w:adjustRightInd/>
        <w:snapToGrid/>
        <w:spacing w:line="360" w:lineRule="auto"/>
        <w:ind w:left="420" w:leftChars="0" w:hanging="420" w:firstLineChars="0"/>
        <w:textAlignment w:val="auto"/>
        <w:rPr>
          <w:b/>
          <w:bCs/>
          <w:color w:val="auto"/>
          <w:sz w:val="24"/>
          <w:szCs w:val="24"/>
        </w:rPr>
      </w:pPr>
      <w:r>
        <w:rPr>
          <w:b/>
          <w:bCs/>
          <w:color w:val="auto"/>
          <w:sz w:val="24"/>
          <w:szCs w:val="24"/>
        </w:rPr>
        <w:t>工具 2:如何提出建议</w:t>
      </w:r>
    </w:p>
    <w:p w14:paraId="7E6106A0">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目的：帮助提出建议者理清思路，锻炼系统思考和策略性的能力；提高提出建议的质量和沟通效率。</w:t>
      </w:r>
    </w:p>
    <w:p w14:paraId="01F6B481">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方式：在提出建议前，根据《自查清单》检核自己对建议思考的完备程度。如果是非常重要建议，通过书面方式提前发送给相关人。</w:t>
      </w:r>
    </w:p>
    <w:p w14:paraId="3FAA9051">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自查清单：在提出任何一个建议之前，先拷问自己以下问题有没有考虑到：</w:t>
      </w:r>
    </w:p>
    <w:p w14:paraId="72368FBB">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 是否有助于基金会的使命、目标、业务</w:t>
      </w:r>
    </w:p>
    <w:p w14:paraId="3C7C1C6E">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 此建议有什么长处和短处(没有任何一个方案是完美的)</w:t>
      </w:r>
    </w:p>
    <w:p w14:paraId="7F0EA02F">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 是否有其他选择 ( 条条大路通罗马，不可能只有唯一的方案 )</w:t>
      </w:r>
    </w:p>
    <w:p w14:paraId="40A15D94">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 是否有先例 ( 这种事情如果曾经被做到过，可信的几率一般会更大 )</w:t>
      </w:r>
    </w:p>
    <w:p w14:paraId="0EA73D43">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 已获得的同意/预算有哪些，是否表述清楚了</w:t>
      </w:r>
    </w:p>
    <w:p w14:paraId="297B229F">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 对组织有什么影响( 需要多少人，多少精力，对人员、组织、文化有什么影响)</w:t>
      </w:r>
    </w:p>
    <w:p w14:paraId="4B866467">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7. 方向和方案都可能是对的，但现在是否是合适的时机</w:t>
      </w:r>
    </w:p>
    <w:p w14:paraId="54846FCF">
      <w:pPr>
        <w:keepNext w:val="0"/>
        <w:keepLines w:val="0"/>
        <w:pageBreakBefore w:val="0"/>
        <w:widowControl w:val="0"/>
        <w:kinsoku/>
        <w:overflowPunct/>
        <w:autoSpaceDE/>
        <w:autoSpaceDN/>
        <w:bidi w:val="0"/>
        <w:adjustRightInd/>
        <w:snapToGrid/>
        <w:spacing w:before="79" w:line="220" w:lineRule="auto"/>
        <w:ind w:firstLine="474" w:firstLineChars="200"/>
        <w:textAlignment w:val="auto"/>
        <w:rPr>
          <w:rFonts w:ascii="宋体" w:hAnsi="宋体" w:eastAsia="宋体" w:cs="宋体"/>
          <w:b/>
          <w:bCs/>
          <w:color w:val="auto"/>
          <w:sz w:val="24"/>
          <w:szCs w:val="24"/>
        </w:rPr>
      </w:pPr>
      <w:r>
        <w:rPr>
          <w:rFonts w:ascii="宋体" w:hAnsi="宋体" w:eastAsia="宋体" w:cs="宋体"/>
          <w:b/>
          <w:bCs/>
          <w:color w:val="auto"/>
          <w:spacing w:val="-2"/>
          <w:sz w:val="24"/>
          <w:szCs w:val="24"/>
        </w:rPr>
        <w:t>建议的内容模版</w:t>
      </w:r>
    </w:p>
    <w:p w14:paraId="14B3ADB0">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 开篇段落（本次沟通的目的类型、主要背景、已获得的同意及预算）</w:t>
      </w:r>
    </w:p>
    <w:p w14:paraId="53FCE45E">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 建议（主要内容，比较简单时可以与开篇段落整合）</w:t>
      </w:r>
    </w:p>
    <w:p w14:paraId="18B7E40E">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 建议的依据（一般不超过三项）</w:t>
      </w:r>
    </w:p>
    <w:p w14:paraId="7C7E5F65">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4. 细节/讨论（如其它关键注意事项，根据需要可能没有）</w:t>
      </w:r>
    </w:p>
    <w:p w14:paraId="24F70A31">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5. 下一步计划（如果建议被批准的话，建议人准备做什么、怎么做）</w:t>
      </w:r>
    </w:p>
    <w:p w14:paraId="3F0F606A">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6. 附件（根据需要，一般与建议的依据有关）</w:t>
      </w:r>
    </w:p>
    <w:p w14:paraId="76404D91">
      <w:pPr>
        <w:keepNext w:val="0"/>
        <w:keepLines w:val="0"/>
        <w:pageBreakBefore w:val="0"/>
        <w:widowControl w:val="0"/>
        <w:numPr>
          <w:ilvl w:val="0"/>
          <w:numId w:val="10"/>
        </w:numPr>
        <w:kinsoku/>
        <w:overflowPunct/>
        <w:autoSpaceDE/>
        <w:autoSpaceDN/>
        <w:bidi w:val="0"/>
        <w:adjustRightInd/>
        <w:snapToGrid/>
        <w:spacing w:line="360" w:lineRule="auto"/>
        <w:ind w:left="420" w:leftChars="0" w:hanging="420" w:firstLineChars="0"/>
        <w:textAlignment w:val="auto"/>
        <w:rPr>
          <w:b/>
          <w:bCs/>
          <w:color w:val="auto"/>
          <w:sz w:val="24"/>
          <w:szCs w:val="24"/>
        </w:rPr>
      </w:pPr>
      <w:r>
        <w:rPr>
          <w:b/>
          <w:bCs/>
          <w:color w:val="auto"/>
          <w:sz w:val="24"/>
          <w:szCs w:val="24"/>
        </w:rPr>
        <w:t xml:space="preserve"> 工具 3:如何决策与分工（PACE）</w:t>
      </w:r>
    </w:p>
    <w:p w14:paraId="298A3ABF">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目的：突破部门、职位的限制，使事情由适宜的人来决策、推动、参与，提高决策和协作能力及效率。并使所有人都可能成长为负责人和决策者。</w:t>
      </w:r>
    </w:p>
    <w:p w14:paraId="4234D369">
      <w:pPr>
        <w:keepNext w:val="0"/>
        <w:keepLines w:val="0"/>
        <w:pageBreakBefore w:val="0"/>
        <w:widowControl w:val="0"/>
        <w:suppressLineNumbers w:val="0"/>
        <w:kinsoku/>
        <w:overflowPunct/>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PACE中角色和职责：</w:t>
      </w:r>
    </w:p>
    <w:tbl>
      <w:tblPr>
        <w:tblStyle w:val="6"/>
        <w:tblW w:w="9266" w:type="dxa"/>
        <w:tblInd w:w="-283" w:type="dxa"/>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Layout w:type="fixed"/>
        <w:tblCellMar>
          <w:top w:w="0" w:type="dxa"/>
          <w:left w:w="0" w:type="dxa"/>
          <w:bottom w:w="0" w:type="dxa"/>
          <w:right w:w="0" w:type="dxa"/>
        </w:tblCellMar>
      </w:tblPr>
      <w:tblGrid>
        <w:gridCol w:w="3130"/>
        <w:gridCol w:w="4020"/>
        <w:gridCol w:w="2116"/>
      </w:tblGrid>
      <w:tr w14:paraId="212E1766">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6" w:hRule="atLeast"/>
        </w:trPr>
        <w:tc>
          <w:tcPr>
            <w:tcW w:w="3130" w:type="dxa"/>
            <w:shd w:val="clear" w:color="auto" w:fill="F9680D"/>
            <w:vAlign w:val="top"/>
          </w:tcPr>
          <w:p w14:paraId="0BD7C73F">
            <w:pPr>
              <w:pStyle w:val="7"/>
              <w:keepNext w:val="0"/>
              <w:keepLines w:val="0"/>
              <w:pageBreakBefore w:val="0"/>
              <w:widowControl w:val="0"/>
              <w:kinsoku/>
              <w:overflowPunct/>
              <w:autoSpaceDE/>
              <w:autoSpaceDN/>
              <w:bidi w:val="0"/>
              <w:adjustRightInd/>
              <w:snapToGrid/>
              <w:spacing w:before="208" w:line="227" w:lineRule="auto"/>
              <w:ind w:left="1230"/>
              <w:textAlignment w:val="auto"/>
              <w:rPr>
                <w:color w:val="auto"/>
                <w:sz w:val="24"/>
                <w:szCs w:val="24"/>
              </w:rPr>
            </w:pPr>
            <w:r>
              <w:rPr>
                <w:b/>
                <w:bCs/>
                <w:color w:val="auto"/>
                <w:spacing w:val="2"/>
                <w:sz w:val="24"/>
                <w:szCs w:val="24"/>
              </w:rPr>
              <w:t>角色</w:t>
            </w:r>
          </w:p>
        </w:tc>
        <w:tc>
          <w:tcPr>
            <w:tcW w:w="4020" w:type="dxa"/>
            <w:shd w:val="clear" w:color="auto" w:fill="F9680D"/>
            <w:vAlign w:val="top"/>
          </w:tcPr>
          <w:p w14:paraId="1CB61236">
            <w:pPr>
              <w:pStyle w:val="7"/>
              <w:keepNext w:val="0"/>
              <w:keepLines w:val="0"/>
              <w:pageBreakBefore w:val="0"/>
              <w:widowControl w:val="0"/>
              <w:kinsoku/>
              <w:overflowPunct/>
              <w:autoSpaceDE/>
              <w:autoSpaceDN/>
              <w:bidi w:val="0"/>
              <w:adjustRightInd/>
              <w:snapToGrid/>
              <w:spacing w:before="207" w:line="230" w:lineRule="auto"/>
              <w:ind w:left="1627"/>
              <w:textAlignment w:val="auto"/>
              <w:rPr>
                <w:color w:val="auto"/>
                <w:sz w:val="24"/>
                <w:szCs w:val="24"/>
              </w:rPr>
            </w:pPr>
            <w:r>
              <w:rPr>
                <w:b/>
                <w:bCs/>
                <w:color w:val="auto"/>
                <w:spacing w:val="4"/>
                <w:sz w:val="24"/>
                <w:szCs w:val="24"/>
              </w:rPr>
              <w:t>职责</w:t>
            </w:r>
          </w:p>
        </w:tc>
        <w:tc>
          <w:tcPr>
            <w:tcW w:w="2116" w:type="dxa"/>
            <w:shd w:val="clear" w:color="auto" w:fill="F9680D"/>
            <w:vAlign w:val="top"/>
          </w:tcPr>
          <w:p w14:paraId="071160A8">
            <w:pPr>
              <w:pStyle w:val="7"/>
              <w:keepNext w:val="0"/>
              <w:keepLines w:val="0"/>
              <w:pageBreakBefore w:val="0"/>
              <w:widowControl w:val="0"/>
              <w:kinsoku/>
              <w:overflowPunct/>
              <w:autoSpaceDE/>
              <w:autoSpaceDN/>
              <w:bidi w:val="0"/>
              <w:adjustRightInd/>
              <w:snapToGrid/>
              <w:spacing w:before="208" w:line="228" w:lineRule="auto"/>
              <w:ind w:left="827"/>
              <w:textAlignment w:val="auto"/>
              <w:rPr>
                <w:color w:val="auto"/>
                <w:sz w:val="24"/>
                <w:szCs w:val="24"/>
              </w:rPr>
            </w:pPr>
            <w:r>
              <w:rPr>
                <w:b/>
                <w:bCs/>
                <w:color w:val="auto"/>
                <w:spacing w:val="3"/>
                <w:sz w:val="24"/>
                <w:szCs w:val="24"/>
              </w:rPr>
              <w:t>数量</w:t>
            </w:r>
          </w:p>
        </w:tc>
      </w:tr>
      <w:tr w14:paraId="08D05560">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604" w:hRule="atLeast"/>
        </w:trPr>
        <w:tc>
          <w:tcPr>
            <w:tcW w:w="3130" w:type="dxa"/>
            <w:vAlign w:val="top"/>
          </w:tcPr>
          <w:p w14:paraId="4D2FE38F">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Process Leader流程负责人/ 项目经理</w:t>
            </w:r>
          </w:p>
        </w:tc>
        <w:tc>
          <w:tcPr>
            <w:tcW w:w="4020" w:type="dxa"/>
            <w:vAlign w:val="top"/>
          </w:tcPr>
          <w:p w14:paraId="27DACE88">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推进整个过程，提出决策建议，确保决 策被及时制定，按时提交最终成果</w:t>
            </w:r>
          </w:p>
        </w:tc>
        <w:tc>
          <w:tcPr>
            <w:tcW w:w="2116" w:type="dxa"/>
            <w:vAlign w:val="top"/>
          </w:tcPr>
          <w:p w14:paraId="7B4C0B78">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有且仅有 1 人</w:t>
            </w:r>
          </w:p>
        </w:tc>
      </w:tr>
      <w:tr w14:paraId="6CEBDFA8">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1" w:hRule="atLeast"/>
        </w:trPr>
        <w:tc>
          <w:tcPr>
            <w:tcW w:w="3130" w:type="dxa"/>
            <w:vAlign w:val="top"/>
          </w:tcPr>
          <w:p w14:paraId="20FA5395">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Approver 批准人</w:t>
            </w:r>
          </w:p>
        </w:tc>
        <w:tc>
          <w:tcPr>
            <w:tcW w:w="4020" w:type="dxa"/>
            <w:vAlign w:val="top"/>
          </w:tcPr>
          <w:p w14:paraId="7DFF3C33">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做最终的决策</w:t>
            </w:r>
          </w:p>
        </w:tc>
        <w:tc>
          <w:tcPr>
            <w:tcW w:w="2116" w:type="dxa"/>
            <w:vAlign w:val="top"/>
          </w:tcPr>
          <w:p w14:paraId="7A54C21F">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有且仅有 1 人</w:t>
            </w:r>
          </w:p>
        </w:tc>
      </w:tr>
      <w:tr w14:paraId="0A127405">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903" w:hRule="atLeast"/>
        </w:trPr>
        <w:tc>
          <w:tcPr>
            <w:tcW w:w="3130" w:type="dxa"/>
            <w:vAlign w:val="top"/>
          </w:tcPr>
          <w:p w14:paraId="109AF646">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Contributors 参与人</w:t>
            </w:r>
          </w:p>
        </w:tc>
        <w:tc>
          <w:tcPr>
            <w:tcW w:w="4020" w:type="dxa"/>
            <w:vAlign w:val="top"/>
          </w:tcPr>
          <w:p w14:paraId="6F53B936">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提供内容和反馈，在某些具体方面提出 建议，没有批准和否决决策的权力。在 需要的节点参加。</w:t>
            </w:r>
          </w:p>
        </w:tc>
        <w:tc>
          <w:tcPr>
            <w:tcW w:w="2116" w:type="dxa"/>
            <w:vAlign w:val="top"/>
          </w:tcPr>
          <w:p w14:paraId="51949C23">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多人</w:t>
            </w:r>
          </w:p>
        </w:tc>
      </w:tr>
      <w:tr w14:paraId="6E4D9C7D">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6" w:hRule="atLeast"/>
        </w:trPr>
        <w:tc>
          <w:tcPr>
            <w:tcW w:w="3130" w:type="dxa"/>
            <w:vAlign w:val="top"/>
          </w:tcPr>
          <w:p w14:paraId="43E644B8">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Executor 执行人</w:t>
            </w:r>
          </w:p>
        </w:tc>
        <w:tc>
          <w:tcPr>
            <w:tcW w:w="4020" w:type="dxa"/>
            <w:vAlign w:val="top"/>
          </w:tcPr>
          <w:p w14:paraId="2B4DC557">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主动采取行动以实现决策</w:t>
            </w:r>
          </w:p>
        </w:tc>
        <w:tc>
          <w:tcPr>
            <w:tcW w:w="2116" w:type="dxa"/>
            <w:vAlign w:val="top"/>
          </w:tcPr>
          <w:p w14:paraId="1A3C75B9">
            <w:pPr>
              <w:pStyle w:val="7"/>
              <w:keepNext w:val="0"/>
              <w:keepLines w:val="0"/>
              <w:pageBreakBefore w:val="0"/>
              <w:widowControl w:val="0"/>
              <w:kinsoku/>
              <w:overflowPunct/>
              <w:autoSpaceDE/>
              <w:autoSpaceDN/>
              <w:bidi w:val="0"/>
              <w:adjustRightInd/>
              <w:snapToGrid/>
              <w:spacing w:before="249"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多人，通常与C重合</w:t>
            </w:r>
          </w:p>
        </w:tc>
      </w:tr>
    </w:tbl>
    <w:p w14:paraId="467AE38B">
      <w:pPr>
        <w:keepNext w:val="0"/>
        <w:keepLines w:val="0"/>
        <w:pageBreakBefore w:val="0"/>
        <w:widowControl w:val="0"/>
        <w:suppressLineNumbers w:val="0"/>
        <w:kinsoku/>
        <w:overflowPunct/>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如何做好PACE中的角色：</w:t>
      </w:r>
    </w:p>
    <w:tbl>
      <w:tblPr>
        <w:tblStyle w:val="6"/>
        <w:tblW w:w="9283" w:type="dxa"/>
        <w:tblInd w:w="-288" w:type="dxa"/>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Layout w:type="fixed"/>
        <w:tblCellMar>
          <w:top w:w="0" w:type="dxa"/>
          <w:left w:w="0" w:type="dxa"/>
          <w:bottom w:w="0" w:type="dxa"/>
          <w:right w:w="0" w:type="dxa"/>
        </w:tblCellMar>
      </w:tblPr>
      <w:tblGrid>
        <w:gridCol w:w="1396"/>
        <w:gridCol w:w="7887"/>
      </w:tblGrid>
      <w:tr w14:paraId="10760413">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574" w:hRule="atLeast"/>
        </w:trPr>
        <w:tc>
          <w:tcPr>
            <w:tcW w:w="1396" w:type="dxa"/>
            <w:shd w:val="clear" w:color="auto" w:fill="F9680D"/>
            <w:vAlign w:val="top"/>
          </w:tcPr>
          <w:p w14:paraId="0EF470C9">
            <w:pPr>
              <w:pStyle w:val="7"/>
              <w:keepNext w:val="0"/>
              <w:keepLines w:val="0"/>
              <w:pageBreakBefore w:val="0"/>
              <w:widowControl w:val="0"/>
              <w:kinsoku/>
              <w:overflowPunct/>
              <w:autoSpaceDE/>
              <w:autoSpaceDN/>
              <w:bidi w:val="0"/>
              <w:adjustRightInd/>
              <w:snapToGrid/>
              <w:spacing w:before="209" w:line="227" w:lineRule="auto"/>
              <w:ind w:left="361"/>
              <w:textAlignment w:val="auto"/>
              <w:rPr>
                <w:color w:val="auto"/>
                <w:sz w:val="24"/>
                <w:szCs w:val="24"/>
              </w:rPr>
            </w:pPr>
            <w:r>
              <w:rPr>
                <w:b/>
                <w:bCs/>
                <w:color w:val="auto"/>
                <w:spacing w:val="2"/>
                <w:sz w:val="24"/>
                <w:szCs w:val="24"/>
              </w:rPr>
              <w:t>角色</w:t>
            </w:r>
          </w:p>
        </w:tc>
        <w:tc>
          <w:tcPr>
            <w:tcW w:w="7887" w:type="dxa"/>
            <w:shd w:val="clear" w:color="auto" w:fill="F9680D"/>
            <w:vAlign w:val="top"/>
          </w:tcPr>
          <w:p w14:paraId="26DE6765">
            <w:pPr>
              <w:pStyle w:val="7"/>
              <w:keepNext w:val="0"/>
              <w:keepLines w:val="0"/>
              <w:pageBreakBefore w:val="0"/>
              <w:widowControl w:val="0"/>
              <w:kinsoku/>
              <w:overflowPunct/>
              <w:autoSpaceDE/>
              <w:autoSpaceDN/>
              <w:bidi w:val="0"/>
              <w:adjustRightInd/>
              <w:snapToGrid/>
              <w:spacing w:before="208" w:line="228" w:lineRule="auto"/>
              <w:ind w:left="3419"/>
              <w:textAlignment w:val="auto"/>
              <w:rPr>
                <w:color w:val="auto"/>
                <w:sz w:val="24"/>
                <w:szCs w:val="24"/>
              </w:rPr>
            </w:pPr>
            <w:r>
              <w:rPr>
                <w:b/>
                <w:bCs/>
                <w:color w:val="auto"/>
                <w:spacing w:val="4"/>
                <w:sz w:val="24"/>
                <w:szCs w:val="24"/>
              </w:rPr>
              <w:t>如何做</w:t>
            </w:r>
          </w:p>
        </w:tc>
      </w:tr>
      <w:tr w14:paraId="43BC3E28">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605" w:hRule="atLeast"/>
        </w:trPr>
        <w:tc>
          <w:tcPr>
            <w:tcW w:w="1396" w:type="dxa"/>
            <w:vAlign w:val="top"/>
          </w:tcPr>
          <w:p w14:paraId="7C5780F5">
            <w:pPr>
              <w:pStyle w:val="7"/>
              <w:keepNext w:val="0"/>
              <w:keepLines w:val="0"/>
              <w:pageBreakBefore w:val="0"/>
              <w:widowControl w:val="0"/>
              <w:kinsoku/>
              <w:overflowPunct/>
              <w:autoSpaceDE/>
              <w:autoSpaceDN/>
              <w:bidi w:val="0"/>
              <w:adjustRightInd/>
              <w:snapToGrid/>
              <w:spacing w:before="211" w:line="228" w:lineRule="auto"/>
              <w:ind w:left="113"/>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P 负责人</w:t>
            </w:r>
          </w:p>
        </w:tc>
        <w:tc>
          <w:tcPr>
            <w:tcW w:w="7887" w:type="dxa"/>
            <w:vAlign w:val="top"/>
          </w:tcPr>
          <w:p w14:paraId="444DA279">
            <w:pPr>
              <w:pStyle w:val="7"/>
              <w:keepNext w:val="0"/>
              <w:keepLines w:val="0"/>
              <w:pageBreakBefore w:val="0"/>
              <w:widowControl w:val="0"/>
              <w:kinsoku/>
              <w:overflowPunct/>
              <w:autoSpaceDE/>
              <w:autoSpaceDN/>
              <w:bidi w:val="0"/>
              <w:adjustRightInd/>
              <w:snapToGrid/>
              <w:spacing w:before="211"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与批准人协作，在决策的关键里程碑、决策标准、时间点上达成一致。</w:t>
            </w:r>
          </w:p>
          <w:p w14:paraId="5D3F7257">
            <w:pPr>
              <w:pStyle w:val="7"/>
              <w:keepNext w:val="0"/>
              <w:keepLines w:val="0"/>
              <w:pageBreakBefore w:val="0"/>
              <w:widowControl w:val="0"/>
              <w:kinsoku/>
              <w:overflowPunct/>
              <w:autoSpaceDE/>
              <w:autoSpaceDN/>
              <w:bidi w:val="0"/>
              <w:adjustRightInd/>
              <w:snapToGrid/>
              <w:spacing w:before="211"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与批准人协作，定义在每个决定中谁会是参与人。</w:t>
            </w:r>
          </w:p>
          <w:p w14:paraId="42C855BE">
            <w:pPr>
              <w:pStyle w:val="7"/>
              <w:keepNext w:val="0"/>
              <w:keepLines w:val="0"/>
              <w:pageBreakBefore w:val="0"/>
              <w:widowControl w:val="0"/>
              <w:kinsoku/>
              <w:overflowPunct/>
              <w:autoSpaceDE/>
              <w:autoSpaceDN/>
              <w:bidi w:val="0"/>
              <w:adjustRightInd/>
              <w:snapToGrid/>
              <w:spacing w:before="211"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了解现状/问题并系统性、策略性的思考决策的制定及进度的把握</w:t>
            </w:r>
          </w:p>
          <w:p w14:paraId="71504A15">
            <w:pPr>
              <w:pStyle w:val="7"/>
              <w:keepNext w:val="0"/>
              <w:keepLines w:val="0"/>
              <w:pageBreakBefore w:val="0"/>
              <w:widowControl w:val="0"/>
              <w:kinsoku/>
              <w:overflowPunct/>
              <w:autoSpaceDE/>
              <w:autoSpaceDN/>
              <w:bidi w:val="0"/>
              <w:adjustRightInd/>
              <w:snapToGrid/>
              <w:spacing w:before="211"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鼓励参与人，定义每个参与人需要在什么时候做什么或产出什么</w:t>
            </w:r>
          </w:p>
          <w:p w14:paraId="3FDED683">
            <w:pPr>
              <w:pStyle w:val="7"/>
              <w:keepNext w:val="0"/>
              <w:keepLines w:val="0"/>
              <w:pageBreakBefore w:val="0"/>
              <w:widowControl w:val="0"/>
              <w:kinsoku/>
              <w:overflowPunct/>
              <w:autoSpaceDE/>
              <w:autoSpaceDN/>
              <w:bidi w:val="0"/>
              <w:adjustRightInd/>
              <w:snapToGrid/>
              <w:spacing w:before="211"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为批准人提供决策的建议和选项，而不是单纯的把信息拼凑交给批准人</w:t>
            </w:r>
          </w:p>
          <w:p w14:paraId="76FAB09A">
            <w:pPr>
              <w:pStyle w:val="7"/>
              <w:keepNext w:val="0"/>
              <w:keepLines w:val="0"/>
              <w:pageBreakBefore w:val="0"/>
              <w:widowControl w:val="0"/>
              <w:kinsoku/>
              <w:overflowPunct/>
              <w:autoSpaceDE/>
              <w:autoSpaceDN/>
              <w:bidi w:val="0"/>
              <w:adjustRightInd/>
              <w:snapToGrid/>
              <w:spacing w:before="211"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组织决策和分工会议，跟进决策执行情况，保证决策被落实。</w:t>
            </w:r>
          </w:p>
        </w:tc>
      </w:tr>
      <w:tr w14:paraId="02C2953E">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605" w:hRule="atLeast"/>
        </w:trPr>
        <w:tc>
          <w:tcPr>
            <w:tcW w:w="1396" w:type="dxa"/>
            <w:vAlign w:val="top"/>
          </w:tcPr>
          <w:p w14:paraId="48EDBC50">
            <w:pPr>
              <w:keepNext w:val="0"/>
              <w:keepLines w:val="0"/>
              <w:pageBreakBefore w:val="0"/>
              <w:widowControl w:val="0"/>
              <w:kinsoku/>
              <w:overflowPunct/>
              <w:autoSpaceDE/>
              <w:autoSpaceDN/>
              <w:bidi w:val="0"/>
              <w:adjustRightInd/>
              <w:snapToGrid/>
              <w:spacing w:line="302" w:lineRule="auto"/>
              <w:textAlignment w:val="auto"/>
              <w:rPr>
                <w:rFonts w:hint="eastAsia" w:asciiTheme="minorHAnsi" w:hAnsiTheme="minorHAnsi" w:eastAsiaTheme="minorEastAsia" w:cstheme="minorBidi"/>
                <w:color w:val="auto"/>
                <w:kern w:val="2"/>
                <w:sz w:val="24"/>
                <w:szCs w:val="24"/>
                <w:lang w:val="en-US" w:eastAsia="en-US" w:bidi="ar-SA"/>
              </w:rPr>
            </w:pPr>
          </w:p>
          <w:p w14:paraId="1712E274">
            <w:pPr>
              <w:keepNext w:val="0"/>
              <w:keepLines w:val="0"/>
              <w:pageBreakBefore w:val="0"/>
              <w:widowControl w:val="0"/>
              <w:kinsoku/>
              <w:overflowPunct/>
              <w:autoSpaceDE/>
              <w:autoSpaceDN/>
              <w:bidi w:val="0"/>
              <w:adjustRightInd/>
              <w:snapToGrid/>
              <w:spacing w:line="303" w:lineRule="auto"/>
              <w:textAlignment w:val="auto"/>
              <w:rPr>
                <w:rFonts w:hint="eastAsia" w:asciiTheme="minorHAnsi" w:hAnsiTheme="minorHAnsi" w:eastAsiaTheme="minorEastAsia" w:cstheme="minorBidi"/>
                <w:color w:val="auto"/>
                <w:kern w:val="2"/>
                <w:sz w:val="24"/>
                <w:szCs w:val="24"/>
                <w:lang w:val="en-US" w:eastAsia="en-US" w:bidi="ar-SA"/>
              </w:rPr>
            </w:pPr>
          </w:p>
          <w:p w14:paraId="415F7357">
            <w:pPr>
              <w:pStyle w:val="7"/>
              <w:keepNext w:val="0"/>
              <w:keepLines w:val="0"/>
              <w:pageBreakBefore w:val="0"/>
              <w:widowControl w:val="0"/>
              <w:kinsoku/>
              <w:overflowPunct/>
              <w:autoSpaceDE/>
              <w:autoSpaceDN/>
              <w:bidi w:val="0"/>
              <w:adjustRightInd/>
              <w:snapToGrid/>
              <w:spacing w:before="62" w:line="230" w:lineRule="auto"/>
              <w:ind w:left="109" w:leftChars="0"/>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A 批准人</w:t>
            </w:r>
          </w:p>
        </w:tc>
        <w:tc>
          <w:tcPr>
            <w:tcW w:w="7887" w:type="dxa"/>
            <w:vAlign w:val="top"/>
          </w:tcPr>
          <w:p w14:paraId="29C47F7F">
            <w:pPr>
              <w:pStyle w:val="7"/>
              <w:keepNext w:val="0"/>
              <w:keepLines w:val="0"/>
              <w:pageBreakBefore w:val="0"/>
              <w:widowControl w:val="0"/>
              <w:kinsoku/>
              <w:overflowPunct/>
              <w:autoSpaceDE/>
              <w:autoSpaceDN/>
              <w:bidi w:val="0"/>
              <w:adjustRightInd/>
              <w:snapToGrid/>
              <w:spacing w:before="71"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选择对的 P，确保只有1个P</w:t>
            </w:r>
          </w:p>
          <w:p w14:paraId="7466FD47">
            <w:pPr>
              <w:pStyle w:val="7"/>
              <w:keepNext w:val="0"/>
              <w:keepLines w:val="0"/>
              <w:pageBreakBefore w:val="0"/>
              <w:widowControl w:val="0"/>
              <w:kinsoku/>
              <w:overflowPunct/>
              <w:autoSpaceDE/>
              <w:autoSpaceDN/>
              <w:bidi w:val="0"/>
              <w:adjustRightInd/>
              <w:snapToGrid/>
              <w:spacing w:before="65"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在决策的关键里程、标准、时间点与 P 达成一致</w:t>
            </w:r>
          </w:p>
          <w:p w14:paraId="4D7E1EA4">
            <w:pPr>
              <w:pStyle w:val="7"/>
              <w:keepNext w:val="0"/>
              <w:keepLines w:val="0"/>
              <w:pageBreakBefore w:val="0"/>
              <w:widowControl w:val="0"/>
              <w:kinsoku/>
              <w:overflowPunct/>
              <w:autoSpaceDE/>
              <w:autoSpaceDN/>
              <w:bidi w:val="0"/>
              <w:adjustRightInd/>
              <w:snapToGrid/>
              <w:spacing w:before="65"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与 P 共同定义在每个决策点上谁是参与人</w:t>
            </w:r>
          </w:p>
          <w:p w14:paraId="67472EC4">
            <w:pPr>
              <w:pStyle w:val="7"/>
              <w:keepNext w:val="0"/>
              <w:keepLines w:val="0"/>
              <w:pageBreakBefore w:val="0"/>
              <w:widowControl w:val="0"/>
              <w:kinsoku/>
              <w:overflowPunct/>
              <w:autoSpaceDE/>
              <w:autoSpaceDN/>
              <w:bidi w:val="0"/>
              <w:adjustRightInd/>
              <w:snapToGrid/>
              <w:spacing w:before="65" w:line="22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充分了解进展，提供必要的资源和指导建议</w:t>
            </w:r>
          </w:p>
          <w:p w14:paraId="30CC273C">
            <w:pPr>
              <w:pStyle w:val="7"/>
              <w:keepNext w:val="0"/>
              <w:keepLines w:val="0"/>
              <w:pageBreakBefore w:val="0"/>
              <w:widowControl w:val="0"/>
              <w:kinsoku/>
              <w:overflowPunct/>
              <w:autoSpaceDE/>
              <w:autoSpaceDN/>
              <w:bidi w:val="0"/>
              <w:adjustRightInd/>
              <w:snapToGrid/>
              <w:spacing w:before="66" w:line="215"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定义决策所需信息，做出决策，积极沟通决策原因，并对决策结果负全责。</w:t>
            </w:r>
          </w:p>
        </w:tc>
      </w:tr>
      <w:tr w14:paraId="65F8268B">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605" w:hRule="atLeast"/>
        </w:trPr>
        <w:tc>
          <w:tcPr>
            <w:tcW w:w="1396" w:type="dxa"/>
            <w:vAlign w:val="top"/>
          </w:tcPr>
          <w:p w14:paraId="7CE26111">
            <w:pPr>
              <w:keepNext w:val="0"/>
              <w:keepLines w:val="0"/>
              <w:pageBreakBefore w:val="0"/>
              <w:widowControl w:val="0"/>
              <w:kinsoku/>
              <w:overflowPunct/>
              <w:autoSpaceDE/>
              <w:autoSpaceDN/>
              <w:bidi w:val="0"/>
              <w:adjustRightInd/>
              <w:snapToGrid/>
              <w:spacing w:line="459" w:lineRule="auto"/>
              <w:textAlignment w:val="auto"/>
              <w:rPr>
                <w:rFonts w:hint="eastAsia" w:asciiTheme="minorHAnsi" w:hAnsiTheme="minorHAnsi" w:eastAsiaTheme="minorEastAsia" w:cstheme="minorBidi"/>
                <w:color w:val="auto"/>
                <w:kern w:val="2"/>
                <w:sz w:val="24"/>
                <w:szCs w:val="24"/>
                <w:lang w:val="en-US" w:eastAsia="en-US" w:bidi="ar-SA"/>
              </w:rPr>
            </w:pPr>
          </w:p>
          <w:p w14:paraId="60633B6F">
            <w:pPr>
              <w:pStyle w:val="7"/>
              <w:keepNext w:val="0"/>
              <w:keepLines w:val="0"/>
              <w:pageBreakBefore w:val="0"/>
              <w:widowControl w:val="0"/>
              <w:kinsoku/>
              <w:overflowPunct/>
              <w:autoSpaceDE/>
              <w:autoSpaceDN/>
              <w:bidi w:val="0"/>
              <w:adjustRightInd/>
              <w:snapToGrid/>
              <w:spacing w:before="62" w:line="230" w:lineRule="auto"/>
              <w:ind w:left="114" w:leftChars="0"/>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C 参与人</w:t>
            </w:r>
          </w:p>
        </w:tc>
        <w:tc>
          <w:tcPr>
            <w:tcW w:w="7887" w:type="dxa"/>
            <w:vAlign w:val="top"/>
          </w:tcPr>
          <w:p w14:paraId="557EB325">
            <w:pPr>
              <w:pStyle w:val="7"/>
              <w:keepNext w:val="0"/>
              <w:keepLines w:val="0"/>
              <w:pageBreakBefore w:val="0"/>
              <w:widowControl w:val="0"/>
              <w:kinsoku/>
              <w:overflowPunct/>
              <w:autoSpaceDE/>
              <w:autoSpaceDN/>
              <w:bidi w:val="0"/>
              <w:adjustRightInd/>
              <w:snapToGrid/>
              <w:spacing w:before="72" w:line="229"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 xml:space="preserve">尊重工作排期和分工目标 </w:t>
            </w:r>
          </w:p>
          <w:p w14:paraId="59405998">
            <w:pPr>
              <w:pStyle w:val="7"/>
              <w:keepNext w:val="0"/>
              <w:keepLines w:val="0"/>
              <w:pageBreakBefore w:val="0"/>
              <w:widowControl w:val="0"/>
              <w:kinsoku/>
              <w:overflowPunct/>
              <w:autoSpaceDE/>
              <w:autoSpaceDN/>
              <w:bidi w:val="0"/>
              <w:adjustRightInd/>
              <w:snapToGrid/>
              <w:spacing w:before="72" w:line="229"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在细分领域比 P 和 A 专业，为决策提供信息甚至建议</w:t>
            </w:r>
          </w:p>
          <w:p w14:paraId="154A1060">
            <w:pPr>
              <w:pStyle w:val="7"/>
              <w:keepNext w:val="0"/>
              <w:keepLines w:val="0"/>
              <w:pageBreakBefore w:val="0"/>
              <w:widowControl w:val="0"/>
              <w:kinsoku/>
              <w:overflowPunct/>
              <w:autoSpaceDE/>
              <w:autoSpaceDN/>
              <w:bidi w:val="0"/>
              <w:adjustRightInd/>
              <w:snapToGrid/>
              <w:spacing w:before="66" w:line="228"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勇于充分发表意见，即便是不受欢迎的意见</w:t>
            </w:r>
          </w:p>
          <w:p w14:paraId="4679421D">
            <w:pPr>
              <w:pStyle w:val="7"/>
              <w:keepNext w:val="0"/>
              <w:keepLines w:val="0"/>
              <w:pageBreakBefore w:val="0"/>
              <w:widowControl w:val="0"/>
              <w:kinsoku/>
              <w:overflowPunct/>
              <w:autoSpaceDE/>
              <w:autoSpaceDN/>
              <w:bidi w:val="0"/>
              <w:adjustRightInd/>
              <w:snapToGrid/>
              <w:spacing w:before="65" w:line="215"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用大局意识来超越本位主义</w:t>
            </w:r>
          </w:p>
        </w:tc>
      </w:tr>
      <w:tr w14:paraId="5B9CA24A">
        <w:tblPrEx>
          <w:tblBorders>
            <w:top w:val="single" w:color="F9680D" w:sz="2" w:space="0"/>
            <w:left w:val="single" w:color="F9680D" w:sz="2" w:space="0"/>
            <w:bottom w:val="single" w:color="F9680D" w:sz="2" w:space="0"/>
            <w:right w:val="single" w:color="F9680D" w:sz="2" w:space="0"/>
            <w:insideH w:val="single" w:color="F9680D" w:sz="2" w:space="0"/>
            <w:insideV w:val="single" w:color="F9680D" w:sz="2" w:space="0"/>
          </w:tblBorders>
          <w:tblCellMar>
            <w:top w:w="0" w:type="dxa"/>
            <w:left w:w="0" w:type="dxa"/>
            <w:bottom w:w="0" w:type="dxa"/>
            <w:right w:w="0" w:type="dxa"/>
          </w:tblCellMar>
        </w:tblPrEx>
        <w:trPr>
          <w:trHeight w:val="605" w:hRule="atLeast"/>
        </w:trPr>
        <w:tc>
          <w:tcPr>
            <w:tcW w:w="1396" w:type="dxa"/>
            <w:vAlign w:val="top"/>
          </w:tcPr>
          <w:p w14:paraId="08F2DD32">
            <w:pPr>
              <w:keepNext w:val="0"/>
              <w:keepLines w:val="0"/>
              <w:pageBreakBefore w:val="0"/>
              <w:widowControl w:val="0"/>
              <w:kinsoku/>
              <w:overflowPunct/>
              <w:autoSpaceDE/>
              <w:autoSpaceDN/>
              <w:bidi w:val="0"/>
              <w:adjustRightInd/>
              <w:snapToGrid/>
              <w:spacing w:line="312" w:lineRule="auto"/>
              <w:textAlignment w:val="auto"/>
              <w:rPr>
                <w:rFonts w:hint="eastAsia" w:asciiTheme="minorHAnsi" w:hAnsiTheme="minorHAnsi" w:eastAsiaTheme="minorEastAsia" w:cstheme="minorBidi"/>
                <w:color w:val="auto"/>
                <w:kern w:val="2"/>
                <w:sz w:val="24"/>
                <w:szCs w:val="24"/>
                <w:lang w:val="en-US" w:eastAsia="en-US" w:bidi="ar-SA"/>
              </w:rPr>
            </w:pPr>
          </w:p>
          <w:p w14:paraId="7353B587">
            <w:pPr>
              <w:pStyle w:val="7"/>
              <w:keepNext w:val="0"/>
              <w:keepLines w:val="0"/>
              <w:pageBreakBefore w:val="0"/>
              <w:widowControl w:val="0"/>
              <w:kinsoku/>
              <w:overflowPunct/>
              <w:autoSpaceDE/>
              <w:autoSpaceDN/>
              <w:bidi w:val="0"/>
              <w:adjustRightInd/>
              <w:snapToGrid/>
              <w:spacing w:before="62" w:line="228" w:lineRule="auto"/>
              <w:ind w:left="113" w:leftChars="0"/>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E 执行人</w:t>
            </w:r>
          </w:p>
        </w:tc>
        <w:tc>
          <w:tcPr>
            <w:tcW w:w="7887" w:type="dxa"/>
            <w:vAlign w:val="top"/>
          </w:tcPr>
          <w:p w14:paraId="58574A3D">
            <w:pPr>
              <w:pStyle w:val="7"/>
              <w:keepNext w:val="0"/>
              <w:keepLines w:val="0"/>
              <w:pageBreakBefore w:val="0"/>
              <w:widowControl w:val="0"/>
              <w:kinsoku/>
              <w:overflowPunct/>
              <w:autoSpaceDE/>
              <w:autoSpaceDN/>
              <w:bidi w:val="0"/>
              <w:adjustRightInd/>
              <w:snapToGrid/>
              <w:spacing w:before="75" w:line="229"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尊重工作排期和分工目标</w:t>
            </w:r>
          </w:p>
          <w:p w14:paraId="2CC21577">
            <w:pPr>
              <w:pStyle w:val="7"/>
              <w:keepNext w:val="0"/>
              <w:keepLines w:val="0"/>
              <w:pageBreakBefore w:val="0"/>
              <w:widowControl w:val="0"/>
              <w:kinsoku/>
              <w:overflowPunct/>
              <w:autoSpaceDE/>
              <w:autoSpaceDN/>
              <w:bidi w:val="0"/>
              <w:adjustRightInd/>
              <w:snapToGrid/>
              <w:spacing w:before="75" w:line="229"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按照决策主动执行</w:t>
            </w:r>
          </w:p>
          <w:p w14:paraId="3DDF75A0">
            <w:pPr>
              <w:pStyle w:val="7"/>
              <w:keepNext w:val="0"/>
              <w:keepLines w:val="0"/>
              <w:pageBreakBefore w:val="0"/>
              <w:widowControl w:val="0"/>
              <w:kinsoku/>
              <w:overflowPunct/>
              <w:autoSpaceDE/>
              <w:autoSpaceDN/>
              <w:bidi w:val="0"/>
              <w:adjustRightInd/>
              <w:snapToGrid/>
              <w:spacing w:before="65" w:line="217" w:lineRule="auto"/>
              <w:textAlignment w:val="auto"/>
              <w:rPr>
                <w:rFonts w:hint="eastAsia" w:asciiTheme="minorHAnsi" w:hAnsiTheme="minorHAnsi" w:eastAsiaTheme="minorEastAsia" w:cstheme="minorBidi"/>
                <w:color w:val="auto"/>
                <w:kern w:val="2"/>
                <w:sz w:val="24"/>
                <w:szCs w:val="24"/>
                <w:lang w:val="en-US" w:eastAsia="en-US" w:bidi="ar-SA"/>
              </w:rPr>
            </w:pPr>
            <w:r>
              <w:rPr>
                <w:rFonts w:hint="eastAsia" w:asciiTheme="minorHAnsi" w:hAnsiTheme="minorHAnsi" w:eastAsiaTheme="minorEastAsia" w:cstheme="minorBidi"/>
                <w:color w:val="auto"/>
                <w:kern w:val="2"/>
                <w:sz w:val="24"/>
                <w:szCs w:val="24"/>
                <w:lang w:val="en-US" w:eastAsia="en-US" w:bidi="ar-SA"/>
              </w:rPr>
              <w:t>主动汇报进度</w:t>
            </w:r>
          </w:p>
        </w:tc>
      </w:tr>
    </w:tbl>
    <w:p w14:paraId="469AD97D">
      <w:pPr>
        <w:keepNext w:val="0"/>
        <w:keepLines w:val="0"/>
        <w:pageBreakBefore w:val="0"/>
        <w:widowControl w:val="0"/>
        <w:suppressLineNumbers w:val="0"/>
        <w:kinsoku/>
        <w:overflowPunct/>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CN" w:bidi="ar"/>
        </w:rPr>
      </w:pPr>
    </w:p>
    <w:p w14:paraId="7C06E3CA">
      <w:pPr>
        <w:keepNext w:val="0"/>
        <w:keepLines w:val="0"/>
        <w:pageBreakBefore w:val="0"/>
        <w:widowControl w:val="0"/>
        <w:kinsoku/>
        <w:overflowPunct/>
        <w:autoSpaceDE/>
        <w:autoSpaceDN/>
        <w:bidi w:val="0"/>
        <w:adjustRightInd/>
        <w:snapToGrid/>
        <w:spacing w:line="360" w:lineRule="auto"/>
        <w:textAlignment w:val="auto"/>
        <w:rPr>
          <w:color w:val="auto"/>
          <w:sz w:val="24"/>
          <w:szCs w:val="24"/>
        </w:rPr>
      </w:pPr>
    </w:p>
    <w:p w14:paraId="1C6FC39A">
      <w:pPr>
        <w:rPr>
          <w:rFonts w:ascii="Arial"/>
          <w:sz w:val="21"/>
        </w:rPr>
        <w:sectPr>
          <w:headerReference r:id="rId24" w:type="default"/>
          <w:footerReference r:id="rId25" w:type="default"/>
          <w:pgSz w:w="11906" w:h="16838"/>
          <w:pgMar w:top="1440" w:right="1800" w:bottom="1440" w:left="1800" w:header="851" w:footer="992" w:gutter="0"/>
          <w:pgNumType w:fmt="decimal"/>
          <w:cols w:space="425" w:num="1"/>
          <w:docGrid w:type="lines" w:linePitch="312" w:charSpace="0"/>
        </w:sectPr>
      </w:pPr>
    </w:p>
    <w:p w14:paraId="6FE51D20">
      <w:pPr>
        <w:keepNext w:val="0"/>
        <w:keepLines w:val="0"/>
        <w:pageBreakBefore w:val="0"/>
        <w:widowControl w:val="0"/>
        <w:kinsoku/>
        <w:wordWrap w:val="0"/>
        <w:overflowPunct/>
        <w:topLinePunct/>
        <w:autoSpaceDE/>
        <w:autoSpaceDN/>
        <w:bidi w:val="0"/>
        <w:adjustRightInd w:val="0"/>
        <w:snapToGrid w:val="0"/>
        <w:spacing w:line="300" w:lineRule="exact"/>
        <w:jc w:val="left"/>
        <w:textAlignment w:val="baseline"/>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附件：一</w:t>
      </w:r>
    </w:p>
    <w:p w14:paraId="34A6EA2A">
      <w:pPr>
        <w:keepNext w:val="0"/>
        <w:keepLines w:val="0"/>
        <w:pageBreakBefore w:val="0"/>
        <w:overflowPunct/>
        <w:bidi w:val="0"/>
        <w:adjustRightInd w:val="0"/>
        <w:snapToGrid w:val="0"/>
        <w:spacing w:before="294" w:line="300" w:lineRule="exact"/>
        <w:jc w:val="center"/>
        <w:textAlignment w:val="baseline"/>
        <w:outlineLvl w:val="1"/>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10"/>
          <w:sz w:val="32"/>
          <w:szCs w:val="32"/>
          <w:lang w:val="en-US" w:eastAsia="zh-CN"/>
        </w:rPr>
        <w:t>青海湖生态保护基金会</w:t>
      </w:r>
      <w:r>
        <w:rPr>
          <w:rFonts w:hint="eastAsia" w:ascii="方正小标宋简体" w:hAnsi="方正小标宋简体" w:eastAsia="方正小标宋简体" w:cs="方正小标宋简体"/>
          <w:b w:val="0"/>
          <w:bCs w:val="0"/>
          <w:color w:val="auto"/>
          <w:spacing w:val="10"/>
          <w:sz w:val="32"/>
          <w:szCs w:val="32"/>
        </w:rPr>
        <w:t>重大事项报告表</w:t>
      </w:r>
    </w:p>
    <w:p w14:paraId="209E26A2">
      <w:pPr>
        <w:pStyle w:val="2"/>
        <w:keepNext w:val="0"/>
        <w:keepLines w:val="0"/>
        <w:pageBreakBefore w:val="0"/>
        <w:overflowPunct/>
        <w:bidi w:val="0"/>
        <w:adjustRightInd w:val="0"/>
        <w:snapToGrid w:val="0"/>
        <w:spacing w:before="245" w:line="300" w:lineRule="exact"/>
        <w:ind w:left="34"/>
        <w:jc w:val="right"/>
        <w:textAlignment w:val="baseline"/>
        <w:rPr>
          <w:b w:val="0"/>
          <w:bCs w:val="0"/>
          <w:color w:val="auto"/>
          <w:sz w:val="24"/>
          <w:szCs w:val="24"/>
        </w:rPr>
      </w:pPr>
      <w:r>
        <w:rPr>
          <w:b w:val="0"/>
          <w:bCs w:val="0"/>
          <w:color w:val="auto"/>
          <w:spacing w:val="-5"/>
          <w:sz w:val="24"/>
          <w:szCs w:val="24"/>
        </w:rPr>
        <w:t>填报时间：</w:t>
      </w:r>
      <w:r>
        <w:rPr>
          <w:b w:val="0"/>
          <w:bCs w:val="0"/>
          <w:color w:val="auto"/>
          <w:spacing w:val="32"/>
          <w:sz w:val="24"/>
          <w:szCs w:val="24"/>
        </w:rPr>
        <w:t xml:space="preserve">   </w:t>
      </w:r>
      <w:r>
        <w:rPr>
          <w:b w:val="0"/>
          <w:bCs w:val="0"/>
          <w:color w:val="auto"/>
          <w:spacing w:val="-5"/>
          <w:sz w:val="24"/>
          <w:szCs w:val="24"/>
        </w:rPr>
        <w:t>年</w:t>
      </w:r>
      <w:r>
        <w:rPr>
          <w:b w:val="0"/>
          <w:bCs w:val="0"/>
          <w:color w:val="auto"/>
          <w:spacing w:val="31"/>
          <w:sz w:val="24"/>
          <w:szCs w:val="24"/>
        </w:rPr>
        <w:t xml:space="preserve">  </w:t>
      </w:r>
      <w:r>
        <w:rPr>
          <w:b w:val="0"/>
          <w:bCs w:val="0"/>
          <w:color w:val="auto"/>
          <w:spacing w:val="-5"/>
          <w:sz w:val="24"/>
          <w:szCs w:val="24"/>
        </w:rPr>
        <w:t>月</w:t>
      </w:r>
      <w:r>
        <w:rPr>
          <w:b w:val="0"/>
          <w:bCs w:val="0"/>
          <w:color w:val="auto"/>
          <w:spacing w:val="51"/>
          <w:sz w:val="24"/>
          <w:szCs w:val="24"/>
        </w:rPr>
        <w:t xml:space="preserve">  </w:t>
      </w:r>
      <w:r>
        <w:rPr>
          <w:b w:val="0"/>
          <w:bCs w:val="0"/>
          <w:color w:val="auto"/>
          <w:spacing w:val="-5"/>
          <w:sz w:val="24"/>
          <w:szCs w:val="24"/>
        </w:rPr>
        <w:t>日</w:t>
      </w:r>
    </w:p>
    <w:p w14:paraId="2AB0BC6D">
      <w:pPr>
        <w:spacing w:line="97" w:lineRule="exact"/>
        <w:rPr>
          <w:color w:val="auto"/>
        </w:rPr>
      </w:pPr>
    </w:p>
    <w:tbl>
      <w:tblPr>
        <w:tblStyle w:val="6"/>
        <w:tblW w:w="90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1"/>
        <w:gridCol w:w="2328"/>
        <w:gridCol w:w="120"/>
        <w:gridCol w:w="1199"/>
        <w:gridCol w:w="1234"/>
        <w:gridCol w:w="2027"/>
      </w:tblGrid>
      <w:tr w14:paraId="172DC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9" w:hRule="atLeast"/>
          <w:jc w:val="center"/>
        </w:trPr>
        <w:tc>
          <w:tcPr>
            <w:tcW w:w="2141" w:type="dxa"/>
            <w:noWrap w:val="0"/>
            <w:vAlign w:val="top"/>
          </w:tcPr>
          <w:p w14:paraId="54BF42D0">
            <w:pPr>
              <w:pStyle w:val="7"/>
              <w:spacing w:before="217" w:line="239" w:lineRule="auto"/>
              <w:ind w:left="342"/>
              <w:rPr>
                <w:rFonts w:hint="eastAsia" w:ascii="仿宋" w:hAnsi="仿宋" w:eastAsia="仿宋" w:cs="仿宋"/>
                <w:color w:val="auto"/>
              </w:rPr>
            </w:pPr>
            <w:r>
              <w:rPr>
                <w:rFonts w:hint="eastAsia" w:ascii="仿宋" w:hAnsi="仿宋" w:eastAsia="仿宋" w:cs="仿宋"/>
                <w:color w:val="auto"/>
                <w:spacing w:val="-1"/>
              </w:rPr>
              <w:t>社会组织名称</w:t>
            </w:r>
          </w:p>
        </w:tc>
        <w:tc>
          <w:tcPr>
            <w:tcW w:w="2448" w:type="dxa"/>
            <w:gridSpan w:val="2"/>
            <w:noWrap w:val="0"/>
            <w:vAlign w:val="top"/>
          </w:tcPr>
          <w:p w14:paraId="18EC768C">
            <w:pPr>
              <w:rPr>
                <w:rFonts w:hint="eastAsia" w:ascii="仿宋" w:hAnsi="仿宋" w:eastAsia="仿宋" w:cs="仿宋"/>
                <w:color w:val="auto"/>
                <w:sz w:val="21"/>
              </w:rPr>
            </w:pPr>
          </w:p>
        </w:tc>
        <w:tc>
          <w:tcPr>
            <w:tcW w:w="2433" w:type="dxa"/>
            <w:gridSpan w:val="2"/>
            <w:noWrap w:val="0"/>
            <w:vAlign w:val="top"/>
          </w:tcPr>
          <w:p w14:paraId="621E00A6">
            <w:pPr>
              <w:pStyle w:val="7"/>
              <w:spacing w:before="216" w:line="239" w:lineRule="auto"/>
              <w:ind w:left="277"/>
              <w:rPr>
                <w:rFonts w:hint="eastAsia" w:ascii="仿宋" w:hAnsi="仿宋" w:eastAsia="仿宋" w:cs="仿宋"/>
                <w:color w:val="auto"/>
              </w:rPr>
            </w:pPr>
            <w:r>
              <w:rPr>
                <w:rFonts w:hint="eastAsia" w:ascii="仿宋" w:hAnsi="仿宋" w:eastAsia="仿宋" w:cs="仿宋"/>
                <w:color w:val="auto"/>
                <w:spacing w:val="-2"/>
              </w:rPr>
              <w:t>统一社会信用代码</w:t>
            </w:r>
          </w:p>
        </w:tc>
        <w:tc>
          <w:tcPr>
            <w:tcW w:w="2027" w:type="dxa"/>
            <w:noWrap w:val="0"/>
            <w:vAlign w:val="top"/>
          </w:tcPr>
          <w:p w14:paraId="2559E30C">
            <w:pPr>
              <w:rPr>
                <w:rFonts w:hint="eastAsia" w:ascii="仿宋" w:hAnsi="仿宋" w:eastAsia="仿宋" w:cs="仿宋"/>
                <w:color w:val="auto"/>
                <w:sz w:val="21"/>
              </w:rPr>
            </w:pPr>
          </w:p>
        </w:tc>
      </w:tr>
      <w:tr w14:paraId="48A58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2" w:hRule="atLeast"/>
          <w:jc w:val="center"/>
        </w:trPr>
        <w:tc>
          <w:tcPr>
            <w:tcW w:w="2141" w:type="dxa"/>
            <w:noWrap w:val="0"/>
            <w:vAlign w:val="top"/>
          </w:tcPr>
          <w:p w14:paraId="1818A88B">
            <w:pPr>
              <w:pStyle w:val="7"/>
              <w:spacing w:before="189" w:line="239" w:lineRule="auto"/>
              <w:ind w:left="590"/>
              <w:rPr>
                <w:rFonts w:hint="eastAsia" w:ascii="仿宋" w:hAnsi="仿宋" w:eastAsia="仿宋" w:cs="仿宋"/>
                <w:color w:val="auto"/>
              </w:rPr>
            </w:pPr>
            <w:r>
              <w:rPr>
                <w:rFonts w:hint="eastAsia" w:ascii="仿宋" w:hAnsi="仿宋" w:eastAsia="仿宋" w:cs="仿宋"/>
                <w:color w:val="auto"/>
                <w:spacing w:val="-4"/>
              </w:rPr>
              <w:t>事项名称</w:t>
            </w:r>
          </w:p>
        </w:tc>
        <w:tc>
          <w:tcPr>
            <w:tcW w:w="6908" w:type="dxa"/>
            <w:gridSpan w:val="5"/>
            <w:noWrap w:val="0"/>
            <w:vAlign w:val="top"/>
          </w:tcPr>
          <w:p w14:paraId="2D8EF7A5">
            <w:pPr>
              <w:rPr>
                <w:rFonts w:hint="eastAsia" w:ascii="仿宋" w:hAnsi="仿宋" w:eastAsia="仿宋" w:cs="仿宋"/>
                <w:color w:val="auto"/>
                <w:sz w:val="21"/>
              </w:rPr>
            </w:pPr>
          </w:p>
        </w:tc>
      </w:tr>
      <w:tr w14:paraId="06999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0" w:hRule="atLeast"/>
          <w:jc w:val="center"/>
        </w:trPr>
        <w:tc>
          <w:tcPr>
            <w:tcW w:w="2141" w:type="dxa"/>
            <w:noWrap w:val="0"/>
            <w:vAlign w:val="top"/>
          </w:tcPr>
          <w:p w14:paraId="0BAFAD25">
            <w:pPr>
              <w:spacing w:line="245" w:lineRule="auto"/>
              <w:rPr>
                <w:rFonts w:hint="eastAsia" w:ascii="仿宋" w:hAnsi="仿宋" w:eastAsia="仿宋" w:cs="仿宋"/>
                <w:color w:val="auto"/>
                <w:sz w:val="21"/>
              </w:rPr>
            </w:pPr>
          </w:p>
          <w:p w14:paraId="48240A25">
            <w:pPr>
              <w:spacing w:line="245" w:lineRule="auto"/>
              <w:rPr>
                <w:rFonts w:hint="eastAsia" w:ascii="仿宋" w:hAnsi="仿宋" w:eastAsia="仿宋" w:cs="仿宋"/>
                <w:color w:val="auto"/>
                <w:sz w:val="21"/>
              </w:rPr>
            </w:pPr>
          </w:p>
          <w:p w14:paraId="2FDE9846">
            <w:pPr>
              <w:spacing w:line="245" w:lineRule="auto"/>
              <w:rPr>
                <w:rFonts w:hint="eastAsia" w:ascii="仿宋" w:hAnsi="仿宋" w:eastAsia="仿宋" w:cs="仿宋"/>
                <w:color w:val="auto"/>
                <w:sz w:val="21"/>
              </w:rPr>
            </w:pPr>
          </w:p>
          <w:p w14:paraId="6D4CD5ED">
            <w:pPr>
              <w:spacing w:line="245" w:lineRule="auto"/>
              <w:rPr>
                <w:rFonts w:hint="eastAsia" w:ascii="仿宋" w:hAnsi="仿宋" w:eastAsia="仿宋" w:cs="仿宋"/>
                <w:color w:val="auto"/>
                <w:sz w:val="21"/>
              </w:rPr>
            </w:pPr>
          </w:p>
          <w:p w14:paraId="5BD3F859">
            <w:pPr>
              <w:spacing w:line="245" w:lineRule="auto"/>
              <w:rPr>
                <w:rFonts w:hint="eastAsia" w:ascii="仿宋" w:hAnsi="仿宋" w:eastAsia="仿宋" w:cs="仿宋"/>
                <w:color w:val="auto"/>
                <w:sz w:val="21"/>
              </w:rPr>
            </w:pPr>
          </w:p>
          <w:p w14:paraId="559F0512">
            <w:pPr>
              <w:spacing w:line="245" w:lineRule="auto"/>
              <w:rPr>
                <w:rFonts w:hint="eastAsia" w:ascii="仿宋" w:hAnsi="仿宋" w:eastAsia="仿宋" w:cs="仿宋"/>
                <w:color w:val="auto"/>
                <w:sz w:val="21"/>
              </w:rPr>
            </w:pPr>
          </w:p>
          <w:p w14:paraId="36145D91">
            <w:pPr>
              <w:spacing w:line="246" w:lineRule="auto"/>
              <w:rPr>
                <w:rFonts w:hint="eastAsia" w:ascii="仿宋" w:hAnsi="仿宋" w:eastAsia="仿宋" w:cs="仿宋"/>
                <w:color w:val="auto"/>
                <w:sz w:val="21"/>
              </w:rPr>
            </w:pPr>
          </w:p>
          <w:p w14:paraId="3C847D20">
            <w:pPr>
              <w:pStyle w:val="7"/>
              <w:spacing w:before="78" w:line="239" w:lineRule="auto"/>
              <w:ind w:left="590"/>
              <w:rPr>
                <w:rFonts w:hint="eastAsia" w:ascii="仿宋" w:hAnsi="仿宋" w:eastAsia="仿宋" w:cs="仿宋"/>
                <w:color w:val="auto"/>
              </w:rPr>
            </w:pPr>
            <w:r>
              <w:rPr>
                <w:rFonts w:hint="eastAsia" w:ascii="仿宋" w:hAnsi="仿宋" w:eastAsia="仿宋" w:cs="仿宋"/>
                <w:color w:val="auto"/>
                <w:spacing w:val="-4"/>
              </w:rPr>
              <w:t>事项内容</w:t>
            </w:r>
          </w:p>
        </w:tc>
        <w:tc>
          <w:tcPr>
            <w:tcW w:w="6908" w:type="dxa"/>
            <w:gridSpan w:val="5"/>
            <w:noWrap w:val="0"/>
            <w:vAlign w:val="top"/>
          </w:tcPr>
          <w:p w14:paraId="073F18F7">
            <w:pPr>
              <w:rPr>
                <w:rFonts w:hint="eastAsia" w:ascii="仿宋" w:hAnsi="仿宋" w:eastAsia="仿宋" w:cs="仿宋"/>
                <w:color w:val="auto"/>
                <w:sz w:val="21"/>
              </w:rPr>
            </w:pPr>
          </w:p>
          <w:p w14:paraId="5B1AAAD3">
            <w:pPr>
              <w:rPr>
                <w:rFonts w:hint="eastAsia" w:ascii="仿宋" w:hAnsi="仿宋" w:eastAsia="仿宋" w:cs="仿宋"/>
                <w:color w:val="auto"/>
                <w:sz w:val="21"/>
              </w:rPr>
            </w:pPr>
          </w:p>
          <w:p w14:paraId="23928B37">
            <w:pPr>
              <w:rPr>
                <w:rFonts w:hint="eastAsia" w:ascii="仿宋" w:hAnsi="仿宋" w:eastAsia="仿宋" w:cs="仿宋"/>
                <w:color w:val="auto"/>
                <w:sz w:val="21"/>
              </w:rPr>
            </w:pPr>
          </w:p>
          <w:p w14:paraId="6B2724C2">
            <w:pPr>
              <w:rPr>
                <w:rFonts w:hint="eastAsia" w:ascii="仿宋" w:hAnsi="仿宋" w:eastAsia="仿宋" w:cs="仿宋"/>
                <w:color w:val="auto"/>
                <w:sz w:val="21"/>
              </w:rPr>
            </w:pPr>
          </w:p>
          <w:p w14:paraId="6513C406">
            <w:pPr>
              <w:rPr>
                <w:rFonts w:hint="eastAsia" w:ascii="仿宋" w:hAnsi="仿宋" w:eastAsia="仿宋" w:cs="仿宋"/>
                <w:color w:val="auto"/>
                <w:sz w:val="21"/>
              </w:rPr>
            </w:pPr>
          </w:p>
          <w:p w14:paraId="1C56AF3A">
            <w:pPr>
              <w:rPr>
                <w:rFonts w:hint="eastAsia" w:ascii="仿宋" w:hAnsi="仿宋" w:eastAsia="仿宋" w:cs="仿宋"/>
                <w:color w:val="auto"/>
                <w:sz w:val="21"/>
              </w:rPr>
            </w:pPr>
          </w:p>
          <w:p w14:paraId="5EEC95D6">
            <w:pPr>
              <w:rPr>
                <w:rFonts w:hint="eastAsia" w:ascii="仿宋" w:hAnsi="仿宋" w:eastAsia="仿宋" w:cs="仿宋"/>
                <w:color w:val="auto"/>
                <w:sz w:val="21"/>
              </w:rPr>
            </w:pPr>
          </w:p>
          <w:p w14:paraId="4941BE52">
            <w:pPr>
              <w:rPr>
                <w:rFonts w:hint="eastAsia" w:ascii="仿宋" w:hAnsi="仿宋" w:eastAsia="仿宋" w:cs="仿宋"/>
                <w:color w:val="auto"/>
                <w:sz w:val="21"/>
              </w:rPr>
            </w:pPr>
          </w:p>
          <w:p w14:paraId="4D293805">
            <w:pPr>
              <w:rPr>
                <w:rFonts w:hint="eastAsia" w:ascii="仿宋" w:hAnsi="仿宋" w:eastAsia="仿宋" w:cs="仿宋"/>
                <w:color w:val="auto"/>
                <w:sz w:val="21"/>
              </w:rPr>
            </w:pPr>
          </w:p>
          <w:p w14:paraId="4719805C">
            <w:pPr>
              <w:rPr>
                <w:rFonts w:hint="eastAsia" w:ascii="仿宋" w:hAnsi="仿宋" w:eastAsia="仿宋" w:cs="仿宋"/>
                <w:color w:val="auto"/>
                <w:sz w:val="21"/>
              </w:rPr>
            </w:pPr>
          </w:p>
          <w:p w14:paraId="37ACAC42">
            <w:pPr>
              <w:rPr>
                <w:rFonts w:hint="eastAsia" w:ascii="仿宋" w:hAnsi="仿宋" w:eastAsia="仿宋" w:cs="仿宋"/>
                <w:color w:val="auto"/>
                <w:sz w:val="21"/>
              </w:rPr>
            </w:pPr>
          </w:p>
          <w:p w14:paraId="3A664EF5">
            <w:pPr>
              <w:rPr>
                <w:rFonts w:hint="eastAsia" w:ascii="仿宋" w:hAnsi="仿宋" w:eastAsia="仿宋" w:cs="仿宋"/>
                <w:color w:val="auto"/>
                <w:sz w:val="21"/>
              </w:rPr>
            </w:pPr>
          </w:p>
          <w:p w14:paraId="2B97F031">
            <w:pPr>
              <w:rPr>
                <w:rFonts w:hint="eastAsia" w:ascii="仿宋" w:hAnsi="仿宋" w:eastAsia="仿宋" w:cs="仿宋"/>
                <w:color w:val="auto"/>
                <w:sz w:val="21"/>
              </w:rPr>
            </w:pPr>
          </w:p>
          <w:p w14:paraId="67894071">
            <w:pPr>
              <w:rPr>
                <w:rFonts w:hint="eastAsia" w:ascii="仿宋" w:hAnsi="仿宋" w:eastAsia="仿宋" w:cs="仿宋"/>
                <w:color w:val="auto"/>
                <w:sz w:val="21"/>
              </w:rPr>
            </w:pPr>
          </w:p>
          <w:p w14:paraId="462A9988">
            <w:pPr>
              <w:rPr>
                <w:rFonts w:hint="eastAsia" w:ascii="仿宋" w:hAnsi="仿宋" w:eastAsia="仿宋" w:cs="仿宋"/>
                <w:color w:val="auto"/>
                <w:sz w:val="21"/>
              </w:rPr>
            </w:pPr>
          </w:p>
        </w:tc>
      </w:tr>
      <w:tr w14:paraId="6CE80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jc w:val="center"/>
        </w:trPr>
        <w:tc>
          <w:tcPr>
            <w:tcW w:w="2141" w:type="dxa"/>
            <w:noWrap w:val="0"/>
            <w:vAlign w:val="top"/>
          </w:tcPr>
          <w:p w14:paraId="2DC25575">
            <w:pPr>
              <w:pStyle w:val="7"/>
              <w:spacing w:before="170" w:line="239" w:lineRule="auto"/>
              <w:ind w:left="588"/>
              <w:rPr>
                <w:rFonts w:hint="eastAsia" w:ascii="仿宋" w:hAnsi="仿宋" w:eastAsia="仿宋" w:cs="仿宋"/>
                <w:color w:val="auto"/>
              </w:rPr>
            </w:pPr>
            <w:r>
              <w:rPr>
                <w:rFonts w:hint="eastAsia" w:ascii="仿宋" w:hAnsi="仿宋" w:eastAsia="仿宋" w:cs="仿宋"/>
                <w:color w:val="auto"/>
                <w:spacing w:val="-3"/>
              </w:rPr>
              <w:t>活动时间</w:t>
            </w:r>
          </w:p>
        </w:tc>
        <w:tc>
          <w:tcPr>
            <w:tcW w:w="2328" w:type="dxa"/>
            <w:noWrap w:val="0"/>
            <w:vAlign w:val="top"/>
          </w:tcPr>
          <w:p w14:paraId="18D690EF">
            <w:pPr>
              <w:rPr>
                <w:rFonts w:hint="eastAsia" w:ascii="仿宋" w:hAnsi="仿宋" w:eastAsia="仿宋" w:cs="仿宋"/>
                <w:color w:val="auto"/>
                <w:sz w:val="21"/>
              </w:rPr>
            </w:pPr>
          </w:p>
        </w:tc>
        <w:tc>
          <w:tcPr>
            <w:tcW w:w="1319" w:type="dxa"/>
            <w:gridSpan w:val="2"/>
            <w:noWrap w:val="0"/>
            <w:vAlign w:val="top"/>
          </w:tcPr>
          <w:p w14:paraId="3587494F">
            <w:pPr>
              <w:pStyle w:val="7"/>
              <w:spacing w:before="170" w:line="239" w:lineRule="auto"/>
              <w:ind w:left="225"/>
              <w:rPr>
                <w:rFonts w:hint="eastAsia" w:ascii="仿宋" w:hAnsi="仿宋" w:eastAsia="仿宋" w:cs="仿宋"/>
                <w:color w:val="auto"/>
              </w:rPr>
            </w:pPr>
            <w:r>
              <w:rPr>
                <w:rFonts w:hint="eastAsia" w:ascii="仿宋" w:hAnsi="仿宋" w:eastAsia="仿宋" w:cs="仿宋"/>
                <w:color w:val="auto"/>
                <w:spacing w:val="-3"/>
              </w:rPr>
              <w:t>活动地点</w:t>
            </w:r>
          </w:p>
        </w:tc>
        <w:tc>
          <w:tcPr>
            <w:tcW w:w="3261" w:type="dxa"/>
            <w:gridSpan w:val="2"/>
            <w:noWrap w:val="0"/>
            <w:vAlign w:val="top"/>
          </w:tcPr>
          <w:p w14:paraId="26C91CDE">
            <w:pPr>
              <w:rPr>
                <w:rFonts w:hint="eastAsia" w:ascii="仿宋" w:hAnsi="仿宋" w:eastAsia="仿宋" w:cs="仿宋"/>
                <w:color w:val="auto"/>
                <w:sz w:val="21"/>
              </w:rPr>
            </w:pPr>
          </w:p>
        </w:tc>
      </w:tr>
      <w:tr w14:paraId="48EAA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jc w:val="center"/>
        </w:trPr>
        <w:tc>
          <w:tcPr>
            <w:tcW w:w="2141" w:type="dxa"/>
            <w:noWrap w:val="0"/>
            <w:vAlign w:val="top"/>
          </w:tcPr>
          <w:p w14:paraId="0B07CDD6">
            <w:pPr>
              <w:pStyle w:val="7"/>
              <w:spacing w:before="240"/>
              <w:ind w:left="107"/>
              <w:rPr>
                <w:rFonts w:hint="eastAsia" w:ascii="仿宋" w:hAnsi="仿宋" w:eastAsia="仿宋" w:cs="仿宋"/>
                <w:color w:val="auto"/>
              </w:rPr>
            </w:pPr>
            <w:r>
              <w:rPr>
                <w:rFonts w:hint="eastAsia" w:ascii="仿宋" w:hAnsi="仿宋" w:eastAsia="仿宋" w:cs="仿宋"/>
                <w:color w:val="auto"/>
                <w:spacing w:val="-10"/>
              </w:rPr>
              <w:t>参加单位（</w:t>
            </w:r>
            <w:r>
              <w:rPr>
                <w:rFonts w:hint="eastAsia" w:ascii="仿宋" w:hAnsi="仿宋" w:eastAsia="仿宋" w:cs="仿宋"/>
                <w:color w:val="auto"/>
                <w:spacing w:val="-51"/>
              </w:rPr>
              <w:t xml:space="preserve"> </w:t>
            </w:r>
            <w:r>
              <w:rPr>
                <w:rFonts w:hint="eastAsia" w:ascii="仿宋" w:hAnsi="仿宋" w:eastAsia="仿宋" w:cs="仿宋"/>
                <w:color w:val="auto"/>
                <w:spacing w:val="-10"/>
              </w:rPr>
              <w:t>人数</w:t>
            </w:r>
            <w:r>
              <w:rPr>
                <w:rFonts w:hint="eastAsia" w:ascii="仿宋" w:hAnsi="仿宋" w:eastAsia="仿宋" w:cs="仿宋"/>
                <w:color w:val="auto"/>
                <w:spacing w:val="-63"/>
              </w:rPr>
              <w:t xml:space="preserve"> </w:t>
            </w:r>
            <w:r>
              <w:rPr>
                <w:rFonts w:hint="eastAsia" w:ascii="仿宋" w:hAnsi="仿宋" w:eastAsia="仿宋" w:cs="仿宋"/>
                <w:color w:val="auto"/>
                <w:spacing w:val="-10"/>
              </w:rPr>
              <w:t>）</w:t>
            </w:r>
          </w:p>
        </w:tc>
        <w:tc>
          <w:tcPr>
            <w:tcW w:w="6908" w:type="dxa"/>
            <w:gridSpan w:val="5"/>
            <w:noWrap w:val="0"/>
            <w:vAlign w:val="top"/>
          </w:tcPr>
          <w:p w14:paraId="3D891536">
            <w:pPr>
              <w:rPr>
                <w:rFonts w:hint="eastAsia" w:ascii="仿宋" w:hAnsi="仿宋" w:eastAsia="仿宋" w:cs="仿宋"/>
                <w:color w:val="auto"/>
                <w:sz w:val="21"/>
              </w:rPr>
            </w:pPr>
          </w:p>
        </w:tc>
      </w:tr>
      <w:tr w14:paraId="07D76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3" w:hRule="atLeast"/>
          <w:jc w:val="center"/>
        </w:trPr>
        <w:tc>
          <w:tcPr>
            <w:tcW w:w="2141" w:type="dxa"/>
            <w:noWrap w:val="0"/>
            <w:vAlign w:val="top"/>
          </w:tcPr>
          <w:p w14:paraId="34BD9408">
            <w:pPr>
              <w:pStyle w:val="7"/>
              <w:spacing w:before="268" w:line="239" w:lineRule="auto"/>
              <w:ind w:left="588"/>
              <w:rPr>
                <w:rFonts w:hint="eastAsia" w:ascii="仿宋" w:hAnsi="仿宋" w:eastAsia="仿宋" w:cs="仿宋"/>
                <w:color w:val="auto"/>
              </w:rPr>
            </w:pPr>
            <w:r>
              <w:rPr>
                <w:rFonts w:hint="eastAsia" w:ascii="仿宋" w:hAnsi="仿宋" w:eastAsia="仿宋" w:cs="仿宋"/>
                <w:color w:val="auto"/>
                <w:spacing w:val="-3"/>
              </w:rPr>
              <w:t>经费来源</w:t>
            </w:r>
          </w:p>
        </w:tc>
        <w:tc>
          <w:tcPr>
            <w:tcW w:w="6908" w:type="dxa"/>
            <w:gridSpan w:val="5"/>
            <w:noWrap w:val="0"/>
            <w:vAlign w:val="top"/>
          </w:tcPr>
          <w:p w14:paraId="5E17E8BA">
            <w:pPr>
              <w:rPr>
                <w:rFonts w:hint="eastAsia" w:ascii="仿宋" w:hAnsi="仿宋" w:eastAsia="仿宋" w:cs="仿宋"/>
                <w:color w:val="auto"/>
                <w:sz w:val="21"/>
              </w:rPr>
            </w:pPr>
          </w:p>
        </w:tc>
      </w:tr>
      <w:tr w14:paraId="5BF76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9" w:hRule="atLeast"/>
          <w:jc w:val="center"/>
        </w:trPr>
        <w:tc>
          <w:tcPr>
            <w:tcW w:w="2141" w:type="dxa"/>
            <w:noWrap w:val="0"/>
            <w:vAlign w:val="top"/>
          </w:tcPr>
          <w:p w14:paraId="0A9F4DE3">
            <w:pPr>
              <w:pStyle w:val="7"/>
              <w:spacing w:before="204" w:line="239" w:lineRule="auto"/>
              <w:ind w:left="468"/>
              <w:rPr>
                <w:rFonts w:hint="eastAsia" w:ascii="仿宋" w:hAnsi="仿宋" w:eastAsia="仿宋" w:cs="仿宋"/>
                <w:color w:val="auto"/>
              </w:rPr>
            </w:pPr>
            <w:r>
              <w:rPr>
                <w:rFonts w:hint="eastAsia" w:ascii="仿宋" w:hAnsi="仿宋" w:eastAsia="仿宋" w:cs="仿宋"/>
                <w:color w:val="auto"/>
                <w:spacing w:val="-3"/>
              </w:rPr>
              <w:t>活动负责人</w:t>
            </w:r>
          </w:p>
        </w:tc>
        <w:tc>
          <w:tcPr>
            <w:tcW w:w="2328" w:type="dxa"/>
            <w:noWrap w:val="0"/>
            <w:vAlign w:val="top"/>
          </w:tcPr>
          <w:p w14:paraId="7CEAF7E7">
            <w:pPr>
              <w:rPr>
                <w:rFonts w:hint="eastAsia" w:ascii="仿宋" w:hAnsi="仿宋" w:eastAsia="仿宋" w:cs="仿宋"/>
                <w:color w:val="auto"/>
                <w:sz w:val="21"/>
              </w:rPr>
            </w:pPr>
          </w:p>
        </w:tc>
        <w:tc>
          <w:tcPr>
            <w:tcW w:w="1319" w:type="dxa"/>
            <w:gridSpan w:val="2"/>
            <w:noWrap w:val="0"/>
            <w:vAlign w:val="top"/>
          </w:tcPr>
          <w:p w14:paraId="0CCEACF0">
            <w:pPr>
              <w:pStyle w:val="7"/>
              <w:spacing w:before="205" w:line="239" w:lineRule="auto"/>
              <w:ind w:left="177"/>
              <w:rPr>
                <w:rFonts w:hint="eastAsia" w:ascii="仿宋" w:hAnsi="仿宋" w:eastAsia="仿宋" w:cs="仿宋"/>
                <w:color w:val="auto"/>
              </w:rPr>
            </w:pPr>
            <w:r>
              <w:rPr>
                <w:rFonts w:hint="eastAsia" w:ascii="仿宋" w:hAnsi="仿宋" w:eastAsia="仿宋" w:cs="仿宋"/>
                <w:color w:val="auto"/>
                <w:spacing w:val="-2"/>
              </w:rPr>
              <w:t>联系电话</w:t>
            </w:r>
          </w:p>
        </w:tc>
        <w:tc>
          <w:tcPr>
            <w:tcW w:w="3261" w:type="dxa"/>
            <w:gridSpan w:val="2"/>
            <w:noWrap w:val="0"/>
            <w:vAlign w:val="top"/>
          </w:tcPr>
          <w:p w14:paraId="76121FD2">
            <w:pPr>
              <w:rPr>
                <w:rFonts w:hint="eastAsia" w:ascii="仿宋" w:hAnsi="仿宋" w:eastAsia="仿宋" w:cs="仿宋"/>
                <w:color w:val="auto"/>
                <w:sz w:val="21"/>
              </w:rPr>
            </w:pPr>
          </w:p>
        </w:tc>
      </w:tr>
      <w:tr w14:paraId="417F0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2" w:hRule="atLeast"/>
          <w:jc w:val="center"/>
        </w:trPr>
        <w:tc>
          <w:tcPr>
            <w:tcW w:w="2141" w:type="dxa"/>
            <w:noWrap w:val="0"/>
            <w:vAlign w:val="top"/>
          </w:tcPr>
          <w:p w14:paraId="1080C777">
            <w:pPr>
              <w:pStyle w:val="7"/>
              <w:spacing w:before="301" w:line="239" w:lineRule="auto"/>
              <w:rPr>
                <w:rFonts w:hint="eastAsia" w:ascii="仿宋" w:hAnsi="仿宋" w:eastAsia="仿宋" w:cs="仿宋"/>
                <w:color w:val="auto"/>
                <w:spacing w:val="-3"/>
              </w:rPr>
            </w:pPr>
          </w:p>
          <w:p w14:paraId="0CEE6213">
            <w:pPr>
              <w:pStyle w:val="7"/>
              <w:keepNext w:val="0"/>
              <w:keepLines w:val="0"/>
              <w:pageBreakBefore w:val="0"/>
              <w:widowControl/>
              <w:kinsoku w:val="0"/>
              <w:wordWrap/>
              <w:overflowPunct/>
              <w:topLinePunct w:val="0"/>
              <w:autoSpaceDE w:val="0"/>
              <w:autoSpaceDN w:val="0"/>
              <w:bidi w:val="0"/>
              <w:adjustRightInd w:val="0"/>
              <w:snapToGrid w:val="0"/>
              <w:spacing w:before="301" w:line="320" w:lineRule="exact"/>
              <w:ind w:left="353"/>
              <w:textAlignment w:val="baseline"/>
              <w:rPr>
                <w:rFonts w:hint="eastAsia" w:ascii="仿宋" w:hAnsi="仿宋" w:eastAsia="仿宋" w:cs="仿宋"/>
                <w:color w:val="auto"/>
              </w:rPr>
            </w:pPr>
            <w:r>
              <w:rPr>
                <w:rFonts w:hint="eastAsia" w:ascii="仿宋" w:hAnsi="仿宋" w:eastAsia="仿宋" w:cs="仿宋"/>
                <w:color w:val="auto"/>
                <w:spacing w:val="-3"/>
              </w:rPr>
              <w:t>业务主管单位</w:t>
            </w:r>
          </w:p>
          <w:p w14:paraId="2EACD50F">
            <w:pPr>
              <w:pStyle w:val="7"/>
              <w:keepNext w:val="0"/>
              <w:keepLines w:val="0"/>
              <w:pageBreakBefore w:val="0"/>
              <w:widowControl/>
              <w:kinsoku w:val="0"/>
              <w:wordWrap/>
              <w:overflowPunct/>
              <w:topLinePunct w:val="0"/>
              <w:autoSpaceDE w:val="0"/>
              <w:autoSpaceDN w:val="0"/>
              <w:bidi w:val="0"/>
              <w:adjustRightInd w:val="0"/>
              <w:snapToGrid w:val="0"/>
              <w:spacing w:before="312" w:line="320" w:lineRule="exact"/>
              <w:ind w:left="830"/>
              <w:textAlignment w:val="baseline"/>
              <w:rPr>
                <w:rFonts w:hint="eastAsia" w:ascii="仿宋" w:hAnsi="仿宋" w:eastAsia="仿宋" w:cs="仿宋"/>
                <w:color w:val="auto"/>
              </w:rPr>
            </w:pPr>
            <w:r>
              <w:rPr>
                <w:rFonts w:hint="eastAsia" w:ascii="仿宋" w:hAnsi="仿宋" w:eastAsia="仿宋" w:cs="仿宋"/>
                <w:color w:val="auto"/>
                <w:spacing w:val="-7"/>
              </w:rPr>
              <w:t>意见</w:t>
            </w:r>
          </w:p>
        </w:tc>
        <w:tc>
          <w:tcPr>
            <w:tcW w:w="6908" w:type="dxa"/>
            <w:gridSpan w:val="5"/>
            <w:noWrap w:val="0"/>
            <w:vAlign w:val="top"/>
          </w:tcPr>
          <w:p w14:paraId="1DFD4129">
            <w:pPr>
              <w:rPr>
                <w:rFonts w:hint="eastAsia" w:ascii="仿宋" w:hAnsi="仿宋" w:eastAsia="仿宋" w:cs="仿宋"/>
                <w:color w:val="auto"/>
                <w:sz w:val="21"/>
              </w:rPr>
            </w:pPr>
          </w:p>
          <w:p w14:paraId="705854AF">
            <w:pPr>
              <w:rPr>
                <w:rFonts w:hint="eastAsia" w:ascii="仿宋" w:hAnsi="仿宋" w:eastAsia="仿宋" w:cs="仿宋"/>
                <w:color w:val="auto"/>
                <w:sz w:val="21"/>
                <w:lang w:val="en-US" w:eastAsia="zh-CN"/>
              </w:rPr>
            </w:pPr>
          </w:p>
          <w:p w14:paraId="676AB9E9">
            <w:pPr>
              <w:rPr>
                <w:rFonts w:hint="eastAsia" w:ascii="仿宋" w:hAnsi="仿宋" w:eastAsia="仿宋" w:cs="仿宋"/>
                <w:color w:val="auto"/>
                <w:sz w:val="21"/>
                <w:lang w:val="en-US" w:eastAsia="zh-CN"/>
              </w:rPr>
            </w:pPr>
          </w:p>
          <w:p w14:paraId="7D92C5BD">
            <w:pPr>
              <w:rPr>
                <w:rFonts w:hint="eastAsia" w:ascii="仿宋" w:hAnsi="仿宋" w:eastAsia="仿宋" w:cs="仿宋"/>
                <w:color w:val="auto"/>
                <w:sz w:val="21"/>
                <w:lang w:val="en-US" w:eastAsia="zh-CN"/>
              </w:rPr>
            </w:pPr>
          </w:p>
          <w:p w14:paraId="577FF056">
            <w:pPr>
              <w:rPr>
                <w:rFonts w:hint="eastAsia" w:ascii="仿宋" w:hAnsi="仿宋" w:eastAsia="仿宋" w:cs="仿宋"/>
                <w:color w:val="auto"/>
                <w:sz w:val="21"/>
                <w:lang w:val="en-US" w:eastAsia="zh-CN"/>
              </w:rPr>
            </w:pPr>
          </w:p>
          <w:p w14:paraId="4029A272">
            <w:pPr>
              <w:rPr>
                <w:rFonts w:hint="eastAsia" w:ascii="仿宋" w:hAnsi="仿宋" w:eastAsia="仿宋" w:cs="仿宋"/>
                <w:color w:val="auto"/>
                <w:sz w:val="21"/>
                <w:lang w:val="en-US" w:eastAsia="zh-CN"/>
              </w:rPr>
            </w:pPr>
          </w:p>
          <w:p w14:paraId="16CCB147">
            <w:pPr>
              <w:jc w:val="right"/>
              <w:rPr>
                <w:rFonts w:hint="default" w:ascii="仿宋" w:hAnsi="仿宋" w:eastAsia="仿宋" w:cs="仿宋"/>
                <w:color w:val="auto"/>
                <w:sz w:val="21"/>
                <w:lang w:val="en-US" w:eastAsia="zh-CN"/>
              </w:rPr>
            </w:pPr>
          </w:p>
          <w:p w14:paraId="4D356EE1">
            <w:pPr>
              <w:rPr>
                <w:rFonts w:hint="eastAsia" w:ascii="仿宋" w:hAnsi="仿宋" w:eastAsia="仿宋" w:cs="仿宋"/>
                <w:color w:val="auto"/>
                <w:sz w:val="21"/>
              </w:rPr>
            </w:pPr>
          </w:p>
          <w:p w14:paraId="489952F2">
            <w:pPr>
              <w:rPr>
                <w:rFonts w:hint="eastAsia" w:ascii="仿宋" w:hAnsi="仿宋" w:eastAsia="仿宋" w:cs="仿宋"/>
                <w:color w:val="auto"/>
                <w:sz w:val="21"/>
              </w:rPr>
            </w:pPr>
          </w:p>
          <w:p w14:paraId="2447A5C8">
            <w:pPr>
              <w:rPr>
                <w:rFonts w:hint="eastAsia" w:ascii="仿宋" w:hAnsi="仿宋" w:eastAsia="仿宋" w:cs="仿宋"/>
                <w:color w:val="auto"/>
                <w:sz w:val="21"/>
              </w:rPr>
            </w:pPr>
          </w:p>
          <w:p w14:paraId="0E568AC7">
            <w:pPr>
              <w:rPr>
                <w:rFonts w:hint="eastAsia" w:ascii="仿宋" w:hAnsi="仿宋" w:eastAsia="仿宋" w:cs="仿宋"/>
                <w:color w:val="auto"/>
                <w:sz w:val="21"/>
              </w:rPr>
            </w:pPr>
          </w:p>
        </w:tc>
      </w:tr>
    </w:tbl>
    <w:p w14:paraId="2BF657A9">
      <w:pPr>
        <w:rPr>
          <w:rFonts w:ascii="Arial"/>
          <w:sz w:val="21"/>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E32C9">
    <w:pPr>
      <w:spacing w:line="14" w:lineRule="auto"/>
      <w:rPr>
        <w:rFonts w:ascii="Arial"/>
        <w:sz w:val="2"/>
      </w:rPr>
    </w:pPr>
    <w:r>
      <w:rPr>
        <w:sz w:val="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ED0A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6AED0A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9A758">
    <w:pPr>
      <w:spacing w:line="176" w:lineRule="auto"/>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98D4C">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B698D4C">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0465C">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02991">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59C02991">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1C64">
    <w:pPr>
      <w:spacing w:line="176" w:lineRule="auto"/>
      <w:ind w:left="41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E63D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EEE63D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31EF2">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C15B0">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73C15B0">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7866C">
    <w:pPr>
      <w:spacing w:line="176" w:lineRule="auto"/>
      <w:ind w:left="409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A2885">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5C8A2885">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6DD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06437">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5BE06437">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751B1">
    <w:pPr>
      <w:spacing w:line="14" w:lineRule="auto"/>
      <w:rPr>
        <w:rFonts w:ascii="Arial"/>
        <w:sz w:val="2"/>
      </w:rPr>
    </w:pPr>
    <w:r>
      <w:rPr>
        <w:sz w:val="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EB4C2">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33EEB4C2">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FFFD9">
    <w:pPr>
      <w:spacing w:line="14" w:lineRule="auto"/>
      <w:rPr>
        <w:rFonts w:ascii="Arial"/>
        <w:sz w:val="2"/>
      </w:rPr>
    </w:pPr>
    <w:r>
      <w:rPr>
        <w:sz w:val="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FD99F">
                          <w:pPr>
                            <w:pStyle w:val="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066FD99F">
                    <w:pPr>
                      <w:pStyle w:val="3"/>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DA50D">
    <w:pPr>
      <w:pStyle w:val="3"/>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5CF85">
                          <w:pPr>
                            <w:pStyle w:val="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5015CF85">
                    <w:pPr>
                      <w:pStyle w:val="3"/>
                    </w:pPr>
                    <w:r>
                      <w:fldChar w:fldCharType="begin"/>
                    </w:r>
                    <w:r>
                      <w:instrText xml:space="preserve"> PAGE  \* MERGEFORMAT </w:instrText>
                    </w:r>
                    <w:r>
                      <w:fldChar w:fldCharType="separate"/>
                    </w:r>
                    <w:r>
                      <w:t>66</w:t>
                    </w:r>
                    <w:r>
                      <w:fldChar w:fldCharType="end"/>
                    </w:r>
                  </w:p>
                </w:txbxContent>
              </v:textbox>
            </v:shape>
          </w:pict>
        </mc:Fallback>
      </mc:AlternateContent>
    </w:r>
    <w:r>
      <w:rPr>
        <w:rFonts w:hint="eastAsia"/>
        <w:lang w:eastAsia="zh-CN"/>
      </w:rP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FED66">
    <w:pPr>
      <w:spacing w:line="173" w:lineRule="auto"/>
      <w:ind w:left="412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6FE54">
                          <w:pPr>
                            <w:pStyle w:val="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1516FE54">
                    <w:pPr>
                      <w:pStyle w:val="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286B8">
    <w:pPr>
      <w:spacing w:line="176" w:lineRule="auto"/>
      <w:ind w:left="41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10D9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9C10D9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3C8F8">
    <w:pPr>
      <w:spacing w:line="176" w:lineRule="auto"/>
      <w:ind w:left="41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3C4C8">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883C4C8">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ED1BB">
    <w:pPr>
      <w:spacing w:line="176" w:lineRule="auto"/>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AF1A3">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730AF1A3">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D52E">
    <w:pPr>
      <w:spacing w:line="176" w:lineRule="auto"/>
      <w:ind w:left="41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FCD5A">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53CFCD5A">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4257E">
    <w:pPr>
      <w:spacing w:line="173" w:lineRule="auto"/>
      <w:ind w:left="41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D7B41">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4F4D7B41">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0CCCF">
    <w:pPr>
      <w:spacing w:line="176" w:lineRule="auto"/>
      <w:ind w:left="41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E3B89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70E3B89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4882">
    <w:pPr>
      <w:spacing w:line="173"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3DD9F">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5A33DD9F">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0EB2D">
    <w:pPr>
      <w:spacing w:line="176" w:lineRule="auto"/>
      <w:ind w:left="41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84E7E">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77584E7E">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96F00">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5B7B">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A9F7C"/>
    <w:multiLevelType w:val="singleLevel"/>
    <w:tmpl w:val="C4CA9F7C"/>
    <w:lvl w:ilvl="0" w:tentative="0">
      <w:start w:val="1"/>
      <w:numFmt w:val="bullet"/>
      <w:lvlText w:val=""/>
      <w:lvlJc w:val="left"/>
      <w:pPr>
        <w:ind w:left="420" w:hanging="420"/>
      </w:pPr>
      <w:rPr>
        <w:rFonts w:hint="default" w:ascii="Wingdings" w:hAnsi="Wingdings"/>
      </w:rPr>
    </w:lvl>
  </w:abstractNum>
  <w:abstractNum w:abstractNumId="1">
    <w:nsid w:val="C6AFC4A2"/>
    <w:multiLevelType w:val="singleLevel"/>
    <w:tmpl w:val="C6AFC4A2"/>
    <w:lvl w:ilvl="0" w:tentative="0">
      <w:start w:val="1"/>
      <w:numFmt w:val="decimal"/>
      <w:lvlText w:val="%1."/>
      <w:lvlJc w:val="left"/>
      <w:pPr>
        <w:tabs>
          <w:tab w:val="left" w:pos="312"/>
        </w:tabs>
      </w:pPr>
    </w:lvl>
  </w:abstractNum>
  <w:abstractNum w:abstractNumId="2">
    <w:nsid w:val="E31C9A48"/>
    <w:multiLevelType w:val="singleLevel"/>
    <w:tmpl w:val="E31C9A48"/>
    <w:lvl w:ilvl="0" w:tentative="0">
      <w:start w:val="1"/>
      <w:numFmt w:val="bullet"/>
      <w:lvlText w:val=""/>
      <w:lvlJc w:val="left"/>
      <w:pPr>
        <w:ind w:left="420" w:hanging="420"/>
      </w:pPr>
      <w:rPr>
        <w:rFonts w:hint="default" w:ascii="Wingdings" w:hAnsi="Wingdings"/>
      </w:rPr>
    </w:lvl>
  </w:abstractNum>
  <w:abstractNum w:abstractNumId="3">
    <w:nsid w:val="2CF7A16E"/>
    <w:multiLevelType w:val="singleLevel"/>
    <w:tmpl w:val="2CF7A16E"/>
    <w:lvl w:ilvl="0" w:tentative="0">
      <w:start w:val="1"/>
      <w:numFmt w:val="bullet"/>
      <w:lvlText w:val=""/>
      <w:lvlJc w:val="left"/>
      <w:pPr>
        <w:ind w:left="420" w:hanging="420"/>
      </w:pPr>
      <w:rPr>
        <w:rFonts w:hint="default" w:ascii="Wingdings" w:hAnsi="Wingdings"/>
      </w:rPr>
    </w:lvl>
  </w:abstractNum>
  <w:abstractNum w:abstractNumId="4">
    <w:nsid w:val="552F5ABC"/>
    <w:multiLevelType w:val="singleLevel"/>
    <w:tmpl w:val="552F5ABC"/>
    <w:lvl w:ilvl="0" w:tentative="0">
      <w:start w:val="1"/>
      <w:numFmt w:val="decimal"/>
      <w:suff w:val="nothing"/>
      <w:lvlText w:val="%1、"/>
      <w:lvlJc w:val="left"/>
    </w:lvl>
  </w:abstractNum>
  <w:abstractNum w:abstractNumId="5">
    <w:nsid w:val="55309ED2"/>
    <w:multiLevelType w:val="singleLevel"/>
    <w:tmpl w:val="55309ED2"/>
    <w:lvl w:ilvl="0" w:tentative="0">
      <w:start w:val="1"/>
      <w:numFmt w:val="chineseCounting"/>
      <w:suff w:val="nothing"/>
      <w:lvlText w:val="%1、"/>
      <w:lvlJc w:val="left"/>
    </w:lvl>
  </w:abstractNum>
  <w:abstractNum w:abstractNumId="6">
    <w:nsid w:val="5530B31C"/>
    <w:multiLevelType w:val="singleLevel"/>
    <w:tmpl w:val="5530B31C"/>
    <w:lvl w:ilvl="0" w:tentative="0">
      <w:start w:val="1"/>
      <w:numFmt w:val="decimal"/>
      <w:suff w:val="nothing"/>
      <w:lvlText w:val="%1."/>
      <w:lvlJc w:val="left"/>
    </w:lvl>
  </w:abstractNum>
  <w:abstractNum w:abstractNumId="7">
    <w:nsid w:val="5530B33C"/>
    <w:multiLevelType w:val="singleLevel"/>
    <w:tmpl w:val="5530B33C"/>
    <w:lvl w:ilvl="0" w:tentative="0">
      <w:start w:val="3"/>
      <w:numFmt w:val="decimal"/>
      <w:suff w:val="nothing"/>
      <w:lvlText w:val="（%1）"/>
      <w:lvlJc w:val="left"/>
    </w:lvl>
  </w:abstractNum>
  <w:abstractNum w:abstractNumId="8">
    <w:nsid w:val="5551641C"/>
    <w:multiLevelType w:val="singleLevel"/>
    <w:tmpl w:val="5551641C"/>
    <w:lvl w:ilvl="0" w:tentative="0">
      <w:start w:val="1"/>
      <w:numFmt w:val="chineseCounting"/>
      <w:suff w:val="nothing"/>
      <w:lvlText w:val="%1、"/>
      <w:lvlJc w:val="left"/>
    </w:lvl>
  </w:abstractNum>
  <w:abstractNum w:abstractNumId="9">
    <w:nsid w:val="7A8EEA11"/>
    <w:multiLevelType w:val="singleLevel"/>
    <w:tmpl w:val="7A8EEA11"/>
    <w:lvl w:ilvl="0" w:tentative="0">
      <w:start w:val="1"/>
      <w:numFmt w:val="bullet"/>
      <w:lvlText w:val=""/>
      <w:lvlJc w:val="left"/>
      <w:pPr>
        <w:ind w:left="420" w:hanging="420"/>
      </w:pPr>
      <w:rPr>
        <w:rFonts w:hint="default" w:ascii="Wingdings" w:hAnsi="Wingdings"/>
      </w:rPr>
    </w:lvl>
  </w:abstractNum>
  <w:num w:numId="1">
    <w:abstractNumId w:val="5"/>
  </w:num>
  <w:num w:numId="2">
    <w:abstractNumId w:val="8"/>
  </w:num>
  <w:num w:numId="3">
    <w:abstractNumId w:val="6"/>
  </w:num>
  <w:num w:numId="4">
    <w:abstractNumId w:val="7"/>
  </w:num>
  <w:num w:numId="5">
    <w:abstractNumId w:val="4"/>
  </w:num>
  <w:num w:numId="6">
    <w:abstractNumId w:val="0"/>
  </w:num>
  <w:num w:numId="7">
    <w:abstractNumId w:val="1"/>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AxYjUwNmQxMjE4ZGM1YWIzNjgyYTQxZDUyYzIzYjEifQ=="/>
  </w:docVars>
  <w:rsids>
    <w:rsidRoot w:val="00000000"/>
    <w:rsid w:val="06915006"/>
    <w:rsid w:val="535C006E"/>
    <w:rsid w:val="5ADE2402"/>
    <w:rsid w:val="727F4C0C"/>
    <w:rsid w:val="78C61D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header" Target="header2.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106</Pages>
  <Words>23949</Words>
  <Characters>24162</Characters>
  <TotalTime>5</TotalTime>
  <ScaleCrop>false</ScaleCrop>
  <LinksUpToDate>false</LinksUpToDate>
  <CharactersWithSpaces>25340</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2024-11-26T08:50:00Z</dcterms:created>
  <dc:creator>82549</dc:creator>
  <cp:lastModifiedBy>何方</cp:lastModifiedBy>
  <dcterms:modified xsi:type="dcterms:W3CDTF">2024-11-27T07:02:58Z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2024-11-26T16:50:29Z</vt:filetime>
  </property>
  <property fmtid="{D5CDD505-2E9C-101B-9397-08002B2CF9AE}" pid="4" name="KSOProductBuildVer">
    <vt:lpwstr>2052-12.1.0.18608</vt:lpwstr>
  </property>
  <property fmtid="{D5CDD505-2E9C-101B-9397-08002B2CF9AE}" pid="5" name="ICV">
    <vt:lpwstr>115187B6122B41B791F270C414EFA181_12</vt:lpwstr>
  </property>
</Properties>
</file>